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083" w14:textId="77777777" w:rsidR="00FB750D" w:rsidRPr="004744E2" w:rsidRDefault="00FB750D" w:rsidP="00FB750D">
      <w:pPr>
        <w:pStyle w:val="BodyText"/>
        <w:widowControl/>
        <w:spacing w:line="276" w:lineRule="auto"/>
        <w:jc w:val="left"/>
        <w:rPr>
          <w:rFonts w:ascii="Arial" w:hAnsi="Arial" w:cs="Arial"/>
          <w:szCs w:val="24"/>
        </w:rPr>
      </w:pPr>
      <w:r w:rsidRPr="004744E2">
        <w:rPr>
          <w:rFonts w:ascii="Arial" w:hAnsi="Arial" w:cs="Arial"/>
          <w:szCs w:val="24"/>
        </w:rPr>
        <w:t>Palgrave Macmillan</w:t>
      </w:r>
    </w:p>
    <w:p w14:paraId="4CC07506" w14:textId="77777777" w:rsidR="00FB750D" w:rsidRPr="004744E2" w:rsidRDefault="00FB750D" w:rsidP="00FB750D">
      <w:pPr>
        <w:pStyle w:val="BodyText"/>
        <w:widowControl/>
        <w:spacing w:line="276" w:lineRule="auto"/>
        <w:jc w:val="left"/>
        <w:rPr>
          <w:rFonts w:ascii="Arial" w:hAnsi="Arial" w:cs="Arial"/>
          <w:szCs w:val="24"/>
        </w:rPr>
      </w:pPr>
    </w:p>
    <w:p w14:paraId="0E56534E" w14:textId="77777777" w:rsidR="00FB750D" w:rsidRPr="009C3BE0" w:rsidRDefault="00FB750D" w:rsidP="00FB750D">
      <w:pPr>
        <w:pStyle w:val="BodyText"/>
        <w:widowControl/>
        <w:spacing w:line="276" w:lineRule="auto"/>
        <w:jc w:val="left"/>
        <w:rPr>
          <w:rFonts w:ascii="Arial" w:hAnsi="Arial" w:cs="Arial"/>
          <w:szCs w:val="24"/>
        </w:rPr>
      </w:pPr>
    </w:p>
    <w:p w14:paraId="20C68EEF" w14:textId="29FC4813" w:rsidR="00FB750D" w:rsidRPr="009C3BE0" w:rsidRDefault="00FB750D" w:rsidP="00FB750D">
      <w:pPr>
        <w:pStyle w:val="BodyText"/>
        <w:widowControl/>
        <w:spacing w:line="276" w:lineRule="auto"/>
        <w:jc w:val="left"/>
        <w:rPr>
          <w:rFonts w:ascii="Arial" w:hAnsi="Arial" w:cs="Arial"/>
          <w:szCs w:val="24"/>
          <w:u w:val="none"/>
          <w:lang w:val="en-GB"/>
        </w:rPr>
      </w:pPr>
      <w:r w:rsidRPr="009C3BE0">
        <w:rPr>
          <w:rFonts w:ascii="Arial" w:hAnsi="Arial" w:cs="Arial"/>
          <w:szCs w:val="24"/>
          <w:u w:val="none"/>
          <w:lang w:val="en-GB"/>
        </w:rPr>
        <w:t xml:space="preserve">The official publication can be found on the publisher’s website: </w:t>
      </w:r>
      <w:hyperlink r:id="rId8" w:history="1">
        <w:r w:rsidR="00994169" w:rsidRPr="009C3BE0">
          <w:rPr>
            <w:rStyle w:val="Hyperlink"/>
            <w:rFonts w:ascii="Arial" w:hAnsi="Arial" w:cs="Arial"/>
            <w:szCs w:val="24"/>
            <w:lang w:val="en-GB"/>
          </w:rPr>
          <w:t>https://link.springer.com/book/10.1007/978-3-030-27998-1</w:t>
        </w:r>
      </w:hyperlink>
    </w:p>
    <w:p w14:paraId="2F471918" w14:textId="77777777" w:rsidR="00994169" w:rsidRPr="009C3BE0" w:rsidRDefault="00994169" w:rsidP="00FB750D">
      <w:pPr>
        <w:pStyle w:val="BodyText"/>
        <w:widowControl/>
        <w:spacing w:line="276" w:lineRule="auto"/>
        <w:jc w:val="left"/>
        <w:rPr>
          <w:rFonts w:ascii="Arial" w:hAnsi="Arial" w:cs="Arial"/>
          <w:szCs w:val="24"/>
          <w:u w:val="none"/>
          <w:lang w:val="en-GB"/>
        </w:rPr>
      </w:pPr>
    </w:p>
    <w:p w14:paraId="1F72A29F" w14:textId="085F41C8" w:rsidR="00994169" w:rsidRPr="009C3BE0" w:rsidRDefault="00994169" w:rsidP="00FB750D">
      <w:pPr>
        <w:pStyle w:val="BodyText"/>
        <w:widowControl/>
        <w:spacing w:line="276" w:lineRule="auto"/>
        <w:jc w:val="left"/>
        <w:rPr>
          <w:rFonts w:ascii="Arial" w:hAnsi="Arial" w:cs="Arial"/>
          <w:szCs w:val="24"/>
          <w:u w:val="none"/>
        </w:rPr>
      </w:pPr>
      <w:r w:rsidRPr="009C3BE0">
        <w:rPr>
          <w:rFonts w:ascii="Arial" w:hAnsi="Arial" w:cs="Arial"/>
          <w:szCs w:val="24"/>
          <w:u w:val="none"/>
          <w:lang w:val="en-GB"/>
        </w:rPr>
        <w:t xml:space="preserve">DOI: </w:t>
      </w:r>
      <w:hyperlink r:id="rId9" w:history="1">
        <w:r w:rsidRPr="009C3BE0">
          <w:rPr>
            <w:rStyle w:val="Hyperlink"/>
            <w:rFonts w:ascii="Arial" w:hAnsi="Arial" w:cs="Arial"/>
            <w:shd w:val="clear" w:color="auto" w:fill="FFFFFF"/>
          </w:rPr>
          <w:t>https://doi.org/10.1007/978-3-030-27998-1</w:t>
        </w:r>
      </w:hyperlink>
      <w:r w:rsidRPr="009C3BE0">
        <w:rPr>
          <w:rFonts w:ascii="Arial" w:hAnsi="Arial" w:cs="Arial"/>
          <w:color w:val="333333"/>
          <w:shd w:val="clear" w:color="auto" w:fill="FFFFFF"/>
        </w:rPr>
        <w:t xml:space="preserve"> </w:t>
      </w:r>
    </w:p>
    <w:p w14:paraId="7883DA2B" w14:textId="77777777" w:rsidR="00FB750D" w:rsidRPr="009C3BE0" w:rsidRDefault="00FB750D" w:rsidP="00FB750D">
      <w:pPr>
        <w:pStyle w:val="BodyText"/>
        <w:widowControl/>
        <w:tabs>
          <w:tab w:val="left" w:pos="705"/>
        </w:tabs>
        <w:spacing w:line="276" w:lineRule="auto"/>
        <w:jc w:val="left"/>
        <w:rPr>
          <w:rFonts w:ascii="Arial" w:hAnsi="Arial" w:cs="Arial"/>
          <w:szCs w:val="24"/>
          <w:u w:val="none"/>
        </w:rPr>
      </w:pPr>
    </w:p>
    <w:p w14:paraId="7555ACD0" w14:textId="77777777" w:rsidR="00FB750D" w:rsidRPr="009C3BE0" w:rsidRDefault="00FB750D" w:rsidP="00FB750D">
      <w:pPr>
        <w:pStyle w:val="BodyText"/>
        <w:widowControl/>
        <w:tabs>
          <w:tab w:val="left" w:pos="705"/>
        </w:tabs>
        <w:spacing w:line="276" w:lineRule="auto"/>
        <w:jc w:val="left"/>
        <w:rPr>
          <w:rFonts w:ascii="Arial" w:hAnsi="Arial" w:cs="Arial"/>
          <w:szCs w:val="24"/>
          <w:u w:val="none"/>
        </w:rPr>
      </w:pPr>
      <w:r w:rsidRPr="009C3BE0">
        <w:rPr>
          <w:rFonts w:ascii="Arial" w:hAnsi="Arial" w:cs="Arial"/>
          <w:szCs w:val="24"/>
          <w:u w:val="none"/>
        </w:rPr>
        <w:t xml:space="preserve">Information on rights and permissions can be found on the publisher’s website: </w:t>
      </w:r>
      <w:hyperlink r:id="rId10" w:history="1">
        <w:r w:rsidRPr="009C3BE0">
          <w:rPr>
            <w:rStyle w:val="Hyperlink"/>
            <w:rFonts w:ascii="Arial" w:hAnsi="Arial" w:cs="Arial"/>
            <w:szCs w:val="24"/>
          </w:rPr>
          <w:t>https://www.palgrave.com/gp/rights-permissions</w:t>
        </w:r>
      </w:hyperlink>
      <w:r w:rsidRPr="009C3BE0">
        <w:rPr>
          <w:rFonts w:ascii="Arial" w:hAnsi="Arial" w:cs="Arial"/>
          <w:szCs w:val="24"/>
          <w:u w:val="none"/>
        </w:rPr>
        <w:t xml:space="preserve"> </w:t>
      </w:r>
    </w:p>
    <w:p w14:paraId="7A118E83" w14:textId="29C0B644" w:rsidR="00FB750D" w:rsidRPr="009C3BE0" w:rsidRDefault="00FB750D">
      <w:pPr>
        <w:rPr>
          <w:rFonts w:ascii="Arial" w:hAnsi="Arial" w:cs="Arial"/>
        </w:rPr>
      </w:pPr>
      <w:r w:rsidRPr="009C3BE0">
        <w:rPr>
          <w:rFonts w:ascii="Arial" w:hAnsi="Arial" w:cs="Arial"/>
        </w:rPr>
        <w:br w:type="page"/>
      </w:r>
    </w:p>
    <w:p w14:paraId="2C873BCB" w14:textId="3E310820" w:rsidR="00492274" w:rsidRDefault="009725B9" w:rsidP="00907FD1">
      <w:pPr>
        <w:jc w:val="center"/>
      </w:pPr>
      <w:r>
        <w:lastRenderedPageBreak/>
        <w:t>Chapter 1 – The Body Beneath the Knife</w:t>
      </w:r>
    </w:p>
    <w:p w14:paraId="280594C7" w14:textId="77777777" w:rsidR="00333C7D" w:rsidRDefault="00333C7D" w:rsidP="00907FD1">
      <w:pPr>
        <w:jc w:val="center"/>
      </w:pPr>
    </w:p>
    <w:p w14:paraId="1B19D385" w14:textId="661111C8" w:rsidR="00907FD1" w:rsidRDefault="00BB5AE2" w:rsidP="00BB5AE2">
      <w:pPr>
        <w:spacing w:after="0" w:line="240" w:lineRule="auto"/>
        <w:ind w:left="2160"/>
        <w:jc w:val="both"/>
      </w:pPr>
      <w:r>
        <w:t>Women’s bodies</w:t>
      </w:r>
    </w:p>
    <w:p w14:paraId="37E41DC4" w14:textId="2B907E99" w:rsidR="00BB5AE2" w:rsidRDefault="00BB5AE2" w:rsidP="00BB5AE2">
      <w:pPr>
        <w:spacing w:after="0" w:line="240" w:lineRule="auto"/>
        <w:ind w:left="2160"/>
        <w:jc w:val="both"/>
      </w:pPr>
      <w:r>
        <w:t>Targets</w:t>
      </w:r>
    </w:p>
    <w:p w14:paraId="615575D1" w14:textId="2C1D2925" w:rsidR="00BB5AE2" w:rsidRDefault="00BB5AE2" w:rsidP="00BB5AE2">
      <w:pPr>
        <w:spacing w:after="0" w:line="240" w:lineRule="auto"/>
        <w:ind w:left="2160"/>
        <w:jc w:val="both"/>
      </w:pPr>
      <w:r>
        <w:t>Under the surgeon’s knife</w:t>
      </w:r>
    </w:p>
    <w:p w14:paraId="7B95DC9E" w14:textId="0458C749" w:rsidR="00BB5AE2" w:rsidRDefault="00221D96" w:rsidP="00BB5AE2">
      <w:pPr>
        <w:spacing w:after="0" w:line="240" w:lineRule="auto"/>
        <w:ind w:left="2160"/>
        <w:jc w:val="both"/>
      </w:pPr>
      <w:r>
        <w:t xml:space="preserve">Every body part </w:t>
      </w:r>
      <w:r w:rsidR="00F752ED">
        <w:t xml:space="preserve">besieged </w:t>
      </w:r>
      <w:r>
        <w:t>by</w:t>
      </w:r>
    </w:p>
    <w:p w14:paraId="0F44B60B" w14:textId="7A127423" w:rsidR="00221D96" w:rsidRDefault="00221D96" w:rsidP="00BB5AE2">
      <w:pPr>
        <w:spacing w:after="0" w:line="240" w:lineRule="auto"/>
        <w:ind w:left="2160"/>
        <w:jc w:val="both"/>
      </w:pPr>
      <w:r>
        <w:t>Botox</w:t>
      </w:r>
    </w:p>
    <w:p w14:paraId="30FE6F0F" w14:textId="2C3BB7F8" w:rsidR="00221D96" w:rsidRDefault="00221D96" w:rsidP="00BB5AE2">
      <w:pPr>
        <w:spacing w:after="0" w:line="240" w:lineRule="auto"/>
        <w:ind w:left="2160"/>
        <w:jc w:val="both"/>
      </w:pPr>
      <w:r>
        <w:t>Liposuction</w:t>
      </w:r>
    </w:p>
    <w:p w14:paraId="0A0D6922" w14:textId="1EC7E9CC" w:rsidR="00221D96" w:rsidRDefault="00221D96" w:rsidP="00BB5AE2">
      <w:pPr>
        <w:spacing w:after="0" w:line="240" w:lineRule="auto"/>
        <w:ind w:left="2160"/>
        <w:jc w:val="both"/>
      </w:pPr>
      <w:r>
        <w:t>Hair extensions</w:t>
      </w:r>
    </w:p>
    <w:p w14:paraId="7661021C" w14:textId="76125BA4" w:rsidR="00221D96" w:rsidRDefault="00221D96" w:rsidP="00BB5AE2">
      <w:pPr>
        <w:spacing w:after="0" w:line="240" w:lineRule="auto"/>
        <w:ind w:left="2160"/>
        <w:jc w:val="both"/>
      </w:pPr>
      <w:r>
        <w:t>False nails</w:t>
      </w:r>
    </w:p>
    <w:p w14:paraId="39528D6D" w14:textId="0FABF218" w:rsidR="003C24A0" w:rsidRDefault="003C24A0" w:rsidP="00BB5AE2">
      <w:pPr>
        <w:spacing w:after="0" w:line="240" w:lineRule="auto"/>
        <w:ind w:left="2160"/>
        <w:jc w:val="both"/>
      </w:pPr>
      <w:r>
        <w:t>Implants and fillers</w:t>
      </w:r>
    </w:p>
    <w:p w14:paraId="5357E5AA" w14:textId="77777777" w:rsidR="00221D96" w:rsidRDefault="00221D96" w:rsidP="00BB5AE2">
      <w:pPr>
        <w:spacing w:after="0" w:line="240" w:lineRule="auto"/>
        <w:ind w:left="2160"/>
        <w:jc w:val="both"/>
      </w:pPr>
    </w:p>
    <w:p w14:paraId="114DB1F6" w14:textId="11204038" w:rsidR="00221D96" w:rsidRDefault="00221D96" w:rsidP="00BB5AE2">
      <w:pPr>
        <w:spacing w:after="0" w:line="240" w:lineRule="auto"/>
        <w:ind w:left="2160"/>
        <w:jc w:val="both"/>
      </w:pPr>
      <w:r>
        <w:t xml:space="preserve">Brows brushed </w:t>
      </w:r>
      <w:proofErr w:type="gramStart"/>
      <w:r>
        <w:t>thick</w:t>
      </w:r>
      <w:proofErr w:type="gramEnd"/>
    </w:p>
    <w:p w14:paraId="136D7500" w14:textId="77777777" w:rsidR="00221D96" w:rsidRDefault="00221D96" w:rsidP="00221D96">
      <w:pPr>
        <w:spacing w:after="0" w:line="240" w:lineRule="auto"/>
        <w:ind w:left="2160"/>
        <w:jc w:val="both"/>
      </w:pPr>
      <w:r>
        <w:t xml:space="preserve">Eyelashes </w:t>
      </w:r>
      <w:proofErr w:type="gramStart"/>
      <w:r>
        <w:t>extended</w:t>
      </w:r>
      <w:proofErr w:type="gramEnd"/>
    </w:p>
    <w:p w14:paraId="6A507A76" w14:textId="67E04E99" w:rsidR="00221D96" w:rsidRDefault="00221D96" w:rsidP="00BB5AE2">
      <w:pPr>
        <w:spacing w:after="0" w:line="240" w:lineRule="auto"/>
        <w:ind w:left="2160"/>
        <w:jc w:val="both"/>
      </w:pPr>
      <w:r>
        <w:t xml:space="preserve">Labia trimmed </w:t>
      </w:r>
      <w:proofErr w:type="gramStart"/>
      <w:r>
        <w:t>narrowly</w:t>
      </w:r>
      <w:proofErr w:type="gramEnd"/>
    </w:p>
    <w:p w14:paraId="23343AA5" w14:textId="6A17FF85" w:rsidR="00221D96" w:rsidRDefault="00221D96" w:rsidP="00BB5AE2">
      <w:pPr>
        <w:spacing w:after="0" w:line="240" w:lineRule="auto"/>
        <w:ind w:left="2160"/>
        <w:jc w:val="both"/>
      </w:pPr>
      <w:r>
        <w:t xml:space="preserve">Legs </w:t>
      </w:r>
      <w:proofErr w:type="gramStart"/>
      <w:r>
        <w:t>re</w:t>
      </w:r>
      <w:r w:rsidR="00235A0C">
        <w:t>moulded</w:t>
      </w:r>
      <w:proofErr w:type="gramEnd"/>
    </w:p>
    <w:p w14:paraId="6F742CC5" w14:textId="227BD438" w:rsidR="00221D96" w:rsidRDefault="00221D96" w:rsidP="00BB5AE2">
      <w:pPr>
        <w:spacing w:after="0" w:line="240" w:lineRule="auto"/>
        <w:ind w:left="2160"/>
        <w:jc w:val="both"/>
      </w:pPr>
      <w:r>
        <w:t>Ankles narrowed, knees reshaped,</w:t>
      </w:r>
      <w:r w:rsidR="008B52D3">
        <w:t xml:space="preserve"> toes</w:t>
      </w:r>
      <w:r>
        <w:t xml:space="preserve"> shortened, lengthened, </w:t>
      </w:r>
      <w:proofErr w:type="gramStart"/>
      <w:r>
        <w:t>straightened</w:t>
      </w:r>
      <w:proofErr w:type="gramEnd"/>
    </w:p>
    <w:p w14:paraId="340FDA4A" w14:textId="69CC81E8" w:rsidR="00235A0C" w:rsidRDefault="00235A0C" w:rsidP="00BB5AE2">
      <w:pPr>
        <w:spacing w:after="0" w:line="240" w:lineRule="auto"/>
        <w:ind w:left="2160"/>
        <w:jc w:val="both"/>
      </w:pPr>
      <w:r>
        <w:t xml:space="preserve">Hips and shoulders </w:t>
      </w:r>
      <w:proofErr w:type="gramStart"/>
      <w:r>
        <w:t>realigned</w:t>
      </w:r>
      <w:proofErr w:type="gramEnd"/>
    </w:p>
    <w:p w14:paraId="65A09FFC" w14:textId="5E26664E" w:rsidR="00235A0C" w:rsidRDefault="00235A0C" w:rsidP="00BB5AE2">
      <w:pPr>
        <w:spacing w:after="0" w:line="240" w:lineRule="auto"/>
        <w:ind w:left="2160"/>
        <w:jc w:val="both"/>
      </w:pPr>
    </w:p>
    <w:p w14:paraId="286279FD" w14:textId="77777777" w:rsidR="00235A0C" w:rsidRDefault="00235A0C" w:rsidP="00BB5AE2">
      <w:pPr>
        <w:spacing w:after="0" w:line="240" w:lineRule="auto"/>
        <w:ind w:left="2160"/>
        <w:jc w:val="both"/>
      </w:pPr>
      <w:r>
        <w:t xml:space="preserve">Remade, refashioned, </w:t>
      </w:r>
      <w:proofErr w:type="gramStart"/>
      <w:r>
        <w:t>redesigned</w:t>
      </w:r>
      <w:proofErr w:type="gramEnd"/>
      <w:r>
        <w:t xml:space="preserve"> </w:t>
      </w:r>
    </w:p>
    <w:p w14:paraId="2DB32B11" w14:textId="77777777" w:rsidR="00235A0C" w:rsidRDefault="00235A0C" w:rsidP="00BB5AE2">
      <w:pPr>
        <w:spacing w:after="0" w:line="240" w:lineRule="auto"/>
        <w:ind w:left="2160"/>
        <w:jc w:val="both"/>
      </w:pPr>
      <w:r>
        <w:t xml:space="preserve">Reformed, </w:t>
      </w:r>
      <w:proofErr w:type="gramStart"/>
      <w:r>
        <w:t>remodelled</w:t>
      </w:r>
      <w:proofErr w:type="gramEnd"/>
    </w:p>
    <w:p w14:paraId="69795774" w14:textId="6094B7F2" w:rsidR="00235A0C" w:rsidRDefault="00235A0C" w:rsidP="00BB5AE2">
      <w:pPr>
        <w:spacing w:after="0" w:line="240" w:lineRule="auto"/>
        <w:ind w:left="2160"/>
        <w:jc w:val="both"/>
      </w:pPr>
      <w:r>
        <w:t>Whittled</w:t>
      </w:r>
      <w:r w:rsidR="008B52D3">
        <w:t xml:space="preserve">, carved, sculpted, </w:t>
      </w:r>
      <w:proofErr w:type="gramStart"/>
      <w:r w:rsidR="008B52D3">
        <w:t>shaped</w:t>
      </w:r>
      <w:proofErr w:type="gramEnd"/>
    </w:p>
    <w:p w14:paraId="022F9D6D" w14:textId="60C8D76B" w:rsidR="00235A0C" w:rsidRDefault="00235A0C" w:rsidP="00BB5AE2">
      <w:pPr>
        <w:spacing w:after="0" w:line="240" w:lineRule="auto"/>
        <w:ind w:left="2160"/>
        <w:jc w:val="both"/>
      </w:pPr>
      <w:r>
        <w:t>Nothing sacred, no</w:t>
      </w:r>
      <w:r w:rsidR="008B52D3">
        <w:t>t</w:t>
      </w:r>
      <w:r>
        <w:t xml:space="preserve"> really </w:t>
      </w:r>
      <w:r w:rsidR="008B52D3">
        <w:t>our</w:t>
      </w:r>
      <w:r>
        <w:t>s</w:t>
      </w:r>
    </w:p>
    <w:p w14:paraId="58941CF4" w14:textId="562D1FD8" w:rsidR="00235A0C" w:rsidRDefault="008B52D3" w:rsidP="00BB5AE2">
      <w:pPr>
        <w:spacing w:after="0" w:line="240" w:lineRule="auto"/>
        <w:ind w:left="2160"/>
        <w:jc w:val="both"/>
      </w:pPr>
      <w:r>
        <w:t>Nor r</w:t>
      </w:r>
      <w:r w:rsidR="00235A0C">
        <w:t xml:space="preserve">eally </w:t>
      </w:r>
      <w:r>
        <w:t>u</w:t>
      </w:r>
      <w:r w:rsidR="00235A0C">
        <w:t>s</w:t>
      </w:r>
    </w:p>
    <w:p w14:paraId="2D150CC7" w14:textId="77777777" w:rsidR="004F45BF" w:rsidRDefault="004F45BF" w:rsidP="00BB5AE2">
      <w:pPr>
        <w:spacing w:after="0" w:line="240" w:lineRule="auto"/>
        <w:ind w:left="2160"/>
        <w:jc w:val="both"/>
      </w:pPr>
    </w:p>
    <w:p w14:paraId="1C2B8760" w14:textId="2DC1BCE6" w:rsidR="0041626E" w:rsidRDefault="0041626E" w:rsidP="00BB5AE2">
      <w:pPr>
        <w:spacing w:after="0" w:line="240" w:lineRule="auto"/>
        <w:ind w:left="2160"/>
        <w:jc w:val="both"/>
      </w:pPr>
      <w:r>
        <w:t xml:space="preserve">Plastic </w:t>
      </w:r>
      <w:proofErr w:type="gramStart"/>
      <w:r>
        <w:t>prevails</w:t>
      </w:r>
      <w:proofErr w:type="gramEnd"/>
    </w:p>
    <w:p w14:paraId="7C788411" w14:textId="7519C64B" w:rsidR="00D207CB" w:rsidRDefault="001B13CD" w:rsidP="00BB5AE2">
      <w:pPr>
        <w:spacing w:after="0" w:line="240" w:lineRule="auto"/>
        <w:ind w:left="2160"/>
        <w:jc w:val="both"/>
      </w:pPr>
      <w:r>
        <w:t>So</w:t>
      </w:r>
    </w:p>
    <w:p w14:paraId="18B42AB2" w14:textId="77777777" w:rsidR="00EB433B" w:rsidRDefault="00EB433B" w:rsidP="00BB5AE2">
      <w:pPr>
        <w:spacing w:after="0" w:line="240" w:lineRule="auto"/>
        <w:ind w:left="2160"/>
        <w:jc w:val="both"/>
      </w:pPr>
    </w:p>
    <w:p w14:paraId="1F375D43" w14:textId="761EDA93" w:rsidR="00235A0C" w:rsidRDefault="00235A0C" w:rsidP="00BB5AE2">
      <w:pPr>
        <w:spacing w:after="0" w:line="240" w:lineRule="auto"/>
        <w:ind w:left="2160"/>
        <w:jc w:val="both"/>
      </w:pPr>
      <w:r>
        <w:t>In the mirror</w:t>
      </w:r>
    </w:p>
    <w:p w14:paraId="068BBE77" w14:textId="3D49F492" w:rsidR="00235A0C" w:rsidRDefault="00235A0C" w:rsidP="00BB5AE2">
      <w:pPr>
        <w:spacing w:after="0" w:line="240" w:lineRule="auto"/>
        <w:ind w:left="2160"/>
        <w:jc w:val="both"/>
      </w:pPr>
      <w:r>
        <w:t>Who stares back?</w:t>
      </w:r>
    </w:p>
    <w:p w14:paraId="0D6491E3" w14:textId="663D628A" w:rsidR="00BB5AE2" w:rsidRDefault="00BB5AE2" w:rsidP="00BB5AE2">
      <w:pPr>
        <w:spacing w:after="0" w:line="240" w:lineRule="auto"/>
        <w:ind w:left="2160"/>
        <w:jc w:val="both"/>
      </w:pPr>
    </w:p>
    <w:p w14:paraId="5BFA475C" w14:textId="77777777" w:rsidR="00BB5AE2" w:rsidRDefault="00BB5AE2" w:rsidP="00BB5AE2">
      <w:pPr>
        <w:spacing w:after="0" w:line="240" w:lineRule="auto"/>
        <w:ind w:left="2160"/>
        <w:jc w:val="both"/>
      </w:pPr>
    </w:p>
    <w:p w14:paraId="581AD1B1" w14:textId="56A9FF67" w:rsidR="00E62729" w:rsidRPr="008E41FE" w:rsidRDefault="001D3EDE" w:rsidP="008755E0">
      <w:pPr>
        <w:spacing w:line="276" w:lineRule="auto"/>
        <w:jc w:val="both"/>
      </w:pPr>
      <w:r w:rsidRPr="008E41FE">
        <w:rPr>
          <w:b/>
          <w:bCs/>
        </w:rPr>
        <w:t>1.</w:t>
      </w:r>
      <w:r w:rsidRPr="008E41FE">
        <w:rPr>
          <w:b/>
          <w:bCs/>
        </w:rPr>
        <w:tab/>
      </w:r>
      <w:r w:rsidR="00E62729" w:rsidRPr="008E41FE">
        <w:rPr>
          <w:b/>
          <w:bCs/>
        </w:rPr>
        <w:t>The Body in the Beauty Parlour</w:t>
      </w:r>
    </w:p>
    <w:p w14:paraId="667EB48C" w14:textId="12FEC456" w:rsidR="00E62729" w:rsidRPr="00D404BC" w:rsidRDefault="00E62729" w:rsidP="00C50A72">
      <w:pPr>
        <w:pStyle w:val="NormalWeb"/>
        <w:spacing w:before="0" w:beforeAutospacing="0" w:after="0" w:afterAutospacing="0" w:line="276" w:lineRule="auto"/>
        <w:jc w:val="both"/>
        <w:rPr>
          <w:rFonts w:asciiTheme="minorHAnsi" w:hAnsiTheme="minorHAnsi"/>
          <w:sz w:val="22"/>
          <w:szCs w:val="22"/>
        </w:rPr>
      </w:pPr>
      <w:r w:rsidRPr="008E41FE">
        <w:rPr>
          <w:rFonts w:asciiTheme="minorHAnsi" w:hAnsiTheme="minorHAnsi"/>
          <w:sz w:val="22"/>
          <w:szCs w:val="22"/>
        </w:rPr>
        <w:t xml:space="preserve">The proposition that women’s bodies can be allowed to walk </w:t>
      </w:r>
      <w:r w:rsidR="007811F2">
        <w:rPr>
          <w:rFonts w:asciiTheme="minorHAnsi" w:hAnsiTheme="minorHAnsi"/>
          <w:sz w:val="22"/>
          <w:szCs w:val="22"/>
        </w:rPr>
        <w:t xml:space="preserve">daily </w:t>
      </w:r>
      <w:r w:rsidR="00157725">
        <w:rPr>
          <w:rFonts w:asciiTheme="minorHAnsi" w:hAnsiTheme="minorHAnsi"/>
          <w:sz w:val="22"/>
          <w:szCs w:val="22"/>
        </w:rPr>
        <w:t xml:space="preserve">on </w:t>
      </w:r>
      <w:r w:rsidRPr="008E41FE">
        <w:rPr>
          <w:rFonts w:asciiTheme="minorHAnsi" w:hAnsiTheme="minorHAnsi"/>
          <w:sz w:val="22"/>
          <w:szCs w:val="22"/>
        </w:rPr>
        <w:t xml:space="preserve">the street, exist in the paid workplace or appear anywhere in public without enhancement or embellishment is becoming less and less acceptable. Just as clothing maketh the woman, </w:t>
      </w:r>
      <w:r w:rsidR="008E41FE" w:rsidRPr="008E41FE">
        <w:rPr>
          <w:rFonts w:asciiTheme="minorHAnsi" w:hAnsiTheme="minorHAnsi"/>
          <w:sz w:val="22"/>
          <w:szCs w:val="22"/>
        </w:rPr>
        <w:t xml:space="preserve">with employer </w:t>
      </w:r>
      <w:r w:rsidRPr="008E41FE">
        <w:rPr>
          <w:rFonts w:asciiTheme="minorHAnsi" w:hAnsiTheme="minorHAnsi"/>
          <w:sz w:val="22"/>
          <w:szCs w:val="22"/>
        </w:rPr>
        <w:t xml:space="preserve">demands that women wear </w:t>
      </w:r>
      <w:proofErr w:type="gramStart"/>
      <w:r w:rsidRPr="008E41FE">
        <w:rPr>
          <w:rFonts w:asciiTheme="minorHAnsi" w:hAnsiTheme="minorHAnsi"/>
          <w:sz w:val="22"/>
          <w:szCs w:val="22"/>
        </w:rPr>
        <w:t>high-heels</w:t>
      </w:r>
      <w:proofErr w:type="gramEnd"/>
      <w:r w:rsidRPr="008E41FE">
        <w:rPr>
          <w:rFonts w:asciiTheme="minorHAnsi" w:hAnsiTheme="minorHAnsi"/>
          <w:sz w:val="22"/>
          <w:szCs w:val="22"/>
        </w:rPr>
        <w:t xml:space="preserve"> to the office, renounce</w:t>
      </w:r>
      <w:r w:rsidR="00157725">
        <w:rPr>
          <w:rFonts w:asciiTheme="minorHAnsi" w:hAnsiTheme="minorHAnsi"/>
          <w:sz w:val="22"/>
          <w:szCs w:val="22"/>
        </w:rPr>
        <w:t xml:space="preserve"> trousers or</w:t>
      </w:r>
      <w:r w:rsidRPr="008E41FE">
        <w:rPr>
          <w:rFonts w:asciiTheme="minorHAnsi" w:hAnsiTheme="minorHAnsi"/>
          <w:sz w:val="22"/>
          <w:szCs w:val="22"/>
        </w:rPr>
        <w:t xml:space="preserve"> pants in the executive suite</w:t>
      </w:r>
      <w:r w:rsidR="008E41FE" w:rsidRPr="008E41FE">
        <w:rPr>
          <w:rFonts w:asciiTheme="minorHAnsi" w:hAnsiTheme="minorHAnsi"/>
          <w:sz w:val="22"/>
          <w:szCs w:val="22"/>
        </w:rPr>
        <w:t>, behind the receptionist desk, working at a computer terminal, seated in a work cubicle</w:t>
      </w:r>
      <w:r w:rsidRPr="008E41FE">
        <w:rPr>
          <w:rFonts w:asciiTheme="minorHAnsi" w:hAnsiTheme="minorHAnsi"/>
          <w:sz w:val="22"/>
          <w:szCs w:val="22"/>
        </w:rPr>
        <w:t xml:space="preserve"> or anywhere else on a business premises, so too with women’s personal attributes.  Once, make-up</w:t>
      </w:r>
      <w:r w:rsidR="008E41FE" w:rsidRPr="008E41FE">
        <w:rPr>
          <w:rFonts w:asciiTheme="minorHAnsi" w:hAnsiTheme="minorHAnsi"/>
          <w:sz w:val="22"/>
          <w:szCs w:val="22"/>
        </w:rPr>
        <w:t xml:space="preserve">, false eyelashes, tattooed eyeliner </w:t>
      </w:r>
      <w:r w:rsidRPr="008E41FE">
        <w:rPr>
          <w:rFonts w:asciiTheme="minorHAnsi" w:hAnsiTheme="minorHAnsi"/>
          <w:sz w:val="22"/>
          <w:szCs w:val="22"/>
        </w:rPr>
        <w:t xml:space="preserve">and false bosoms were </w:t>
      </w:r>
      <w:r w:rsidR="00235A0C">
        <w:rPr>
          <w:rFonts w:asciiTheme="minorHAnsi" w:hAnsiTheme="minorHAnsi"/>
          <w:sz w:val="22"/>
          <w:szCs w:val="22"/>
        </w:rPr>
        <w:t xml:space="preserve">the </w:t>
      </w:r>
      <w:r w:rsidRPr="008E41FE">
        <w:rPr>
          <w:rFonts w:asciiTheme="minorHAnsi" w:hAnsiTheme="minorHAnsi"/>
          <w:sz w:val="22"/>
          <w:szCs w:val="22"/>
        </w:rPr>
        <w:t>signa</w:t>
      </w:r>
      <w:r w:rsidR="00235A0C">
        <w:rPr>
          <w:rFonts w:asciiTheme="minorHAnsi" w:hAnsiTheme="minorHAnsi"/>
          <w:sz w:val="22"/>
          <w:szCs w:val="22"/>
        </w:rPr>
        <w:t>ture</w:t>
      </w:r>
      <w:r w:rsidRPr="008E41FE">
        <w:rPr>
          <w:rFonts w:asciiTheme="minorHAnsi" w:hAnsiTheme="minorHAnsi"/>
          <w:sz w:val="22"/>
          <w:szCs w:val="22"/>
        </w:rPr>
        <w:t xml:space="preserve"> </w:t>
      </w:r>
      <w:r w:rsidR="00235A0C">
        <w:rPr>
          <w:rFonts w:asciiTheme="minorHAnsi" w:hAnsiTheme="minorHAnsi"/>
          <w:sz w:val="22"/>
          <w:szCs w:val="22"/>
        </w:rPr>
        <w:t xml:space="preserve">of </w:t>
      </w:r>
      <w:r w:rsidRPr="008E41FE">
        <w:rPr>
          <w:rFonts w:asciiTheme="minorHAnsi" w:hAnsiTheme="minorHAnsi"/>
          <w:sz w:val="22"/>
          <w:szCs w:val="22"/>
        </w:rPr>
        <w:t xml:space="preserve">a woman on the stage, </w:t>
      </w:r>
      <w:r w:rsidR="00235A0C">
        <w:rPr>
          <w:rFonts w:asciiTheme="minorHAnsi" w:hAnsiTheme="minorHAnsi"/>
          <w:sz w:val="22"/>
          <w:szCs w:val="22"/>
        </w:rPr>
        <w:t xml:space="preserve">or a signal that she </w:t>
      </w:r>
      <w:r w:rsidRPr="008E41FE">
        <w:rPr>
          <w:rFonts w:asciiTheme="minorHAnsi" w:hAnsiTheme="minorHAnsi"/>
          <w:sz w:val="22"/>
          <w:szCs w:val="22"/>
        </w:rPr>
        <w:t>haunt</w:t>
      </w:r>
      <w:r w:rsidR="00235A0C">
        <w:rPr>
          <w:rFonts w:asciiTheme="minorHAnsi" w:hAnsiTheme="minorHAnsi"/>
          <w:sz w:val="22"/>
          <w:szCs w:val="22"/>
        </w:rPr>
        <w:t>ed</w:t>
      </w:r>
      <w:r w:rsidRPr="008E41FE">
        <w:rPr>
          <w:rFonts w:asciiTheme="minorHAnsi" w:hAnsiTheme="minorHAnsi"/>
          <w:sz w:val="22"/>
          <w:szCs w:val="22"/>
        </w:rPr>
        <w:t xml:space="preserve"> </w:t>
      </w:r>
      <w:r w:rsidR="00235A0C">
        <w:rPr>
          <w:rFonts w:asciiTheme="minorHAnsi" w:hAnsiTheme="minorHAnsi"/>
          <w:sz w:val="22"/>
          <w:szCs w:val="22"/>
        </w:rPr>
        <w:t xml:space="preserve">alleys and </w:t>
      </w:r>
      <w:r w:rsidRPr="008E41FE">
        <w:rPr>
          <w:rFonts w:asciiTheme="minorHAnsi" w:hAnsiTheme="minorHAnsi"/>
          <w:sz w:val="22"/>
          <w:szCs w:val="22"/>
        </w:rPr>
        <w:t xml:space="preserve">backstreets in hope of a paying </w:t>
      </w:r>
      <w:proofErr w:type="gramStart"/>
      <w:r w:rsidRPr="008E41FE">
        <w:rPr>
          <w:rFonts w:asciiTheme="minorHAnsi" w:hAnsiTheme="minorHAnsi"/>
          <w:sz w:val="22"/>
          <w:szCs w:val="22"/>
        </w:rPr>
        <w:t>customer, or</w:t>
      </w:r>
      <w:proofErr w:type="gramEnd"/>
      <w:r w:rsidRPr="008E41FE">
        <w:rPr>
          <w:rFonts w:asciiTheme="minorHAnsi" w:hAnsiTheme="minorHAnsi"/>
          <w:sz w:val="22"/>
          <w:szCs w:val="22"/>
        </w:rPr>
        <w:t xml:space="preserve"> appear</w:t>
      </w:r>
      <w:r w:rsidR="00235A0C">
        <w:rPr>
          <w:rFonts w:asciiTheme="minorHAnsi" w:hAnsiTheme="minorHAnsi"/>
          <w:sz w:val="22"/>
          <w:szCs w:val="22"/>
        </w:rPr>
        <w:t>ed</w:t>
      </w:r>
      <w:r w:rsidRPr="008E41FE">
        <w:rPr>
          <w:rFonts w:asciiTheme="minorHAnsi" w:hAnsiTheme="minorHAnsi"/>
          <w:sz w:val="22"/>
          <w:szCs w:val="22"/>
        </w:rPr>
        <w:t xml:space="preserve"> in movies labelled ‘porn’. In the 21</w:t>
      </w:r>
      <w:r w:rsidRPr="008E41FE">
        <w:rPr>
          <w:rFonts w:asciiTheme="minorHAnsi" w:hAnsiTheme="minorHAnsi"/>
          <w:sz w:val="22"/>
          <w:szCs w:val="22"/>
          <w:vertAlign w:val="superscript"/>
        </w:rPr>
        <w:t>st</w:t>
      </w:r>
      <w:r w:rsidRPr="008E41FE">
        <w:rPr>
          <w:rFonts w:asciiTheme="minorHAnsi" w:hAnsiTheme="minorHAnsi"/>
          <w:sz w:val="22"/>
          <w:szCs w:val="22"/>
        </w:rPr>
        <w:t xml:space="preserve"> century, the</w:t>
      </w:r>
      <w:r w:rsidR="00235A0C">
        <w:rPr>
          <w:rFonts w:asciiTheme="minorHAnsi" w:hAnsiTheme="minorHAnsi"/>
          <w:sz w:val="22"/>
          <w:szCs w:val="22"/>
        </w:rPr>
        <w:t xml:space="preserve">se </w:t>
      </w:r>
      <w:r w:rsidRPr="008E41FE">
        <w:rPr>
          <w:rFonts w:asciiTheme="minorHAnsi" w:hAnsiTheme="minorHAnsi"/>
          <w:sz w:val="22"/>
          <w:szCs w:val="22"/>
        </w:rPr>
        <w:t xml:space="preserve">are signifiers of mainstream woman. </w:t>
      </w:r>
      <w:r w:rsidR="00C50A72">
        <w:rPr>
          <w:rFonts w:asciiTheme="minorHAnsi" w:hAnsiTheme="minorHAnsi"/>
          <w:sz w:val="22"/>
          <w:szCs w:val="22"/>
        </w:rPr>
        <w:t>Hence, i</w:t>
      </w:r>
      <w:r w:rsidRPr="008E41FE">
        <w:rPr>
          <w:rFonts w:asciiTheme="minorHAnsi" w:hAnsiTheme="minorHAnsi"/>
          <w:sz w:val="22"/>
          <w:szCs w:val="22"/>
        </w:rPr>
        <w:t xml:space="preserve">n 2011 a ‘team of scientists and psychologists’ from Harvard and Boston Universities </w:t>
      </w:r>
      <w:r w:rsidR="003F747D" w:rsidRPr="008E41FE">
        <w:rPr>
          <w:rFonts w:asciiTheme="minorHAnsi" w:hAnsiTheme="minorHAnsi"/>
          <w:sz w:val="22"/>
          <w:szCs w:val="22"/>
        </w:rPr>
        <w:t xml:space="preserve">in collaboration with the Dana-Farber Cancer Institute, disclosed </w:t>
      </w:r>
      <w:r w:rsidR="00157725">
        <w:rPr>
          <w:rFonts w:asciiTheme="minorHAnsi" w:hAnsiTheme="minorHAnsi"/>
          <w:sz w:val="22"/>
          <w:szCs w:val="22"/>
        </w:rPr>
        <w:t>data</w:t>
      </w:r>
      <w:r w:rsidR="003F747D" w:rsidRPr="008E41FE">
        <w:rPr>
          <w:rFonts w:asciiTheme="minorHAnsi" w:hAnsiTheme="minorHAnsi"/>
          <w:sz w:val="22"/>
          <w:szCs w:val="22"/>
        </w:rPr>
        <w:t xml:space="preserve"> gleaned from their study that women wearing make-up are perceived as ‘more competent, attractive, likeable and trustworthy’.</w:t>
      </w:r>
      <w:r w:rsidR="003F747D" w:rsidRPr="008E41FE">
        <w:rPr>
          <w:rStyle w:val="EndnoteReference"/>
          <w:rFonts w:asciiTheme="minorHAnsi" w:hAnsiTheme="minorHAnsi"/>
          <w:sz w:val="22"/>
          <w:szCs w:val="22"/>
        </w:rPr>
        <w:endnoteReference w:id="1"/>
      </w:r>
      <w:r w:rsidR="00C50A72">
        <w:rPr>
          <w:rFonts w:asciiTheme="minorHAnsi" w:hAnsiTheme="minorHAnsi"/>
          <w:sz w:val="22"/>
          <w:szCs w:val="22"/>
        </w:rPr>
        <w:t xml:space="preserve">  </w:t>
      </w:r>
      <w:r w:rsidRPr="00D404BC">
        <w:rPr>
          <w:rFonts w:asciiTheme="minorHAnsi" w:hAnsiTheme="minorHAnsi"/>
          <w:sz w:val="22"/>
          <w:szCs w:val="22"/>
        </w:rPr>
        <w:t>The study</w:t>
      </w:r>
      <w:r w:rsidR="00C50A72">
        <w:rPr>
          <w:rFonts w:asciiTheme="minorHAnsi" w:hAnsiTheme="minorHAnsi"/>
          <w:sz w:val="22"/>
          <w:szCs w:val="22"/>
        </w:rPr>
        <w:t xml:space="preserve">’s finding </w:t>
      </w:r>
      <w:r w:rsidR="00157725">
        <w:rPr>
          <w:rFonts w:asciiTheme="minorHAnsi" w:hAnsiTheme="minorHAnsi"/>
          <w:sz w:val="22"/>
          <w:szCs w:val="22"/>
        </w:rPr>
        <w:t>wa</w:t>
      </w:r>
      <w:r w:rsidR="00C50A72">
        <w:rPr>
          <w:rFonts w:asciiTheme="minorHAnsi" w:hAnsiTheme="minorHAnsi"/>
          <w:sz w:val="22"/>
          <w:szCs w:val="22"/>
        </w:rPr>
        <w:t xml:space="preserve">s that </w:t>
      </w:r>
      <w:r w:rsidRPr="00D404BC">
        <w:rPr>
          <w:rFonts w:asciiTheme="minorHAnsi" w:hAnsiTheme="minorHAnsi"/>
          <w:sz w:val="22"/>
          <w:szCs w:val="22"/>
        </w:rPr>
        <w:t xml:space="preserve">this follows, whether women are made-up in a ‘natural’, ‘professional’ or ‘glamorous’ style, and whether the images are flashed before </w:t>
      </w:r>
      <w:r w:rsidR="00C50A72">
        <w:rPr>
          <w:rFonts w:asciiTheme="minorHAnsi" w:hAnsiTheme="minorHAnsi"/>
          <w:sz w:val="22"/>
          <w:szCs w:val="22"/>
        </w:rPr>
        <w:t xml:space="preserve">the eyes of participants in the study </w:t>
      </w:r>
      <w:r w:rsidRPr="00D404BC">
        <w:rPr>
          <w:rFonts w:asciiTheme="minorHAnsi" w:hAnsiTheme="minorHAnsi"/>
          <w:sz w:val="22"/>
          <w:szCs w:val="22"/>
        </w:rPr>
        <w:t xml:space="preserve">or </w:t>
      </w:r>
      <w:r w:rsidR="00C50A72">
        <w:rPr>
          <w:rFonts w:asciiTheme="minorHAnsi" w:hAnsiTheme="minorHAnsi"/>
          <w:sz w:val="22"/>
          <w:szCs w:val="22"/>
        </w:rPr>
        <w:t xml:space="preserve">are </w:t>
      </w:r>
      <w:r w:rsidRPr="00D404BC">
        <w:rPr>
          <w:rFonts w:asciiTheme="minorHAnsi" w:hAnsiTheme="minorHAnsi"/>
          <w:sz w:val="22"/>
          <w:szCs w:val="22"/>
        </w:rPr>
        <w:t xml:space="preserve">viewed </w:t>
      </w:r>
      <w:r w:rsidR="00C50A72">
        <w:rPr>
          <w:rFonts w:asciiTheme="minorHAnsi" w:hAnsiTheme="minorHAnsi"/>
          <w:sz w:val="22"/>
          <w:szCs w:val="22"/>
        </w:rPr>
        <w:t>by them f</w:t>
      </w:r>
      <w:r w:rsidRPr="00D404BC">
        <w:rPr>
          <w:rFonts w:asciiTheme="minorHAnsi" w:hAnsiTheme="minorHAnsi"/>
          <w:sz w:val="22"/>
          <w:szCs w:val="22"/>
        </w:rPr>
        <w:t xml:space="preserve">or more lengthy periods.  </w:t>
      </w:r>
    </w:p>
    <w:p w14:paraId="25E15E04" w14:textId="77777777" w:rsidR="00E62729" w:rsidRPr="00D404BC" w:rsidRDefault="00E62729" w:rsidP="00E62729">
      <w:pPr>
        <w:jc w:val="both"/>
      </w:pPr>
    </w:p>
    <w:p w14:paraId="1C118316" w14:textId="6CC6AB7C" w:rsidR="00495862" w:rsidRDefault="00E62729" w:rsidP="00AC656D">
      <w:pPr>
        <w:pStyle w:val="NormalWeb"/>
        <w:spacing w:before="0" w:beforeAutospacing="0" w:after="0" w:afterAutospacing="0" w:line="276" w:lineRule="auto"/>
        <w:jc w:val="both"/>
        <w:rPr>
          <w:rFonts w:asciiTheme="minorHAnsi" w:hAnsiTheme="minorHAnsi"/>
          <w:sz w:val="22"/>
          <w:szCs w:val="22"/>
        </w:rPr>
      </w:pPr>
      <w:r w:rsidRPr="00D404BC">
        <w:rPr>
          <w:rFonts w:asciiTheme="minorHAnsi" w:hAnsiTheme="minorHAnsi"/>
          <w:sz w:val="22"/>
          <w:szCs w:val="22"/>
        </w:rPr>
        <w:t>Funded by Procter &amp; Gam</w:t>
      </w:r>
      <w:r w:rsidR="00E970B2">
        <w:rPr>
          <w:rFonts w:asciiTheme="minorHAnsi" w:hAnsiTheme="minorHAnsi"/>
          <w:sz w:val="22"/>
          <w:szCs w:val="22"/>
        </w:rPr>
        <w:t>ble, a huge conglomerate making</w:t>
      </w:r>
      <w:r w:rsidR="00235A0C">
        <w:rPr>
          <w:rFonts w:asciiTheme="minorHAnsi" w:hAnsiTheme="minorHAnsi"/>
          <w:sz w:val="22"/>
          <w:szCs w:val="22"/>
        </w:rPr>
        <w:t xml:space="preserve"> much of </w:t>
      </w:r>
      <w:r w:rsidRPr="00D404BC">
        <w:rPr>
          <w:rFonts w:asciiTheme="minorHAnsi" w:hAnsiTheme="minorHAnsi"/>
          <w:sz w:val="22"/>
          <w:szCs w:val="22"/>
        </w:rPr>
        <w:t xml:space="preserve">its money through selling cosmetics (mainly to women), the study </w:t>
      </w:r>
      <w:r w:rsidR="00C50A72">
        <w:rPr>
          <w:rFonts w:asciiTheme="minorHAnsi" w:hAnsiTheme="minorHAnsi"/>
          <w:sz w:val="22"/>
          <w:szCs w:val="22"/>
        </w:rPr>
        <w:t>wa</w:t>
      </w:r>
      <w:r w:rsidRPr="00D404BC">
        <w:rPr>
          <w:rFonts w:asciiTheme="minorHAnsi" w:hAnsiTheme="minorHAnsi"/>
          <w:sz w:val="22"/>
          <w:szCs w:val="22"/>
        </w:rPr>
        <w:t>s labelled ‘independent’</w:t>
      </w:r>
      <w:r w:rsidR="0041626E">
        <w:rPr>
          <w:rFonts w:asciiTheme="minorHAnsi" w:hAnsiTheme="minorHAnsi"/>
          <w:sz w:val="22"/>
          <w:szCs w:val="22"/>
        </w:rPr>
        <w:t xml:space="preserve">. The </w:t>
      </w:r>
      <w:r w:rsidR="00157725">
        <w:rPr>
          <w:rFonts w:asciiTheme="minorHAnsi" w:hAnsiTheme="minorHAnsi"/>
          <w:sz w:val="22"/>
          <w:szCs w:val="22"/>
        </w:rPr>
        <w:t>implication</w:t>
      </w:r>
      <w:r w:rsidR="0041626E">
        <w:rPr>
          <w:rFonts w:asciiTheme="minorHAnsi" w:hAnsiTheme="minorHAnsi"/>
          <w:sz w:val="22"/>
          <w:szCs w:val="22"/>
        </w:rPr>
        <w:t xml:space="preserve">? It must </w:t>
      </w:r>
      <w:r w:rsidRPr="00D404BC">
        <w:rPr>
          <w:rFonts w:asciiTheme="minorHAnsi" w:hAnsiTheme="minorHAnsi"/>
          <w:sz w:val="22"/>
          <w:szCs w:val="22"/>
        </w:rPr>
        <w:t>be believed</w:t>
      </w:r>
      <w:r w:rsidR="00C50A72">
        <w:rPr>
          <w:rFonts w:asciiTheme="minorHAnsi" w:hAnsiTheme="minorHAnsi"/>
          <w:sz w:val="22"/>
          <w:szCs w:val="22"/>
        </w:rPr>
        <w:t xml:space="preserve">. This, at </w:t>
      </w:r>
      <w:r w:rsidRPr="00D404BC">
        <w:rPr>
          <w:rFonts w:asciiTheme="minorHAnsi" w:hAnsiTheme="minorHAnsi"/>
          <w:sz w:val="22"/>
          <w:szCs w:val="22"/>
        </w:rPr>
        <w:t xml:space="preserve">least, </w:t>
      </w:r>
      <w:r w:rsidR="00C50A72">
        <w:rPr>
          <w:rFonts w:asciiTheme="minorHAnsi" w:hAnsiTheme="minorHAnsi"/>
          <w:sz w:val="22"/>
          <w:szCs w:val="22"/>
        </w:rPr>
        <w:t xml:space="preserve">was </w:t>
      </w:r>
      <w:r w:rsidRPr="00D404BC">
        <w:rPr>
          <w:rFonts w:asciiTheme="minorHAnsi" w:hAnsiTheme="minorHAnsi"/>
          <w:sz w:val="22"/>
          <w:szCs w:val="22"/>
        </w:rPr>
        <w:t xml:space="preserve">the thrust. </w:t>
      </w:r>
      <w:r w:rsidR="00C50A72">
        <w:rPr>
          <w:rFonts w:asciiTheme="minorHAnsi" w:hAnsiTheme="minorHAnsi"/>
          <w:sz w:val="22"/>
          <w:szCs w:val="22"/>
        </w:rPr>
        <w:t>The message to all women seeking survival or promotion in Western democracies was unmistakeable. T</w:t>
      </w:r>
      <w:r w:rsidRPr="00D404BC">
        <w:rPr>
          <w:rFonts w:asciiTheme="minorHAnsi" w:hAnsiTheme="minorHAnsi"/>
          <w:sz w:val="22"/>
          <w:szCs w:val="22"/>
        </w:rPr>
        <w:t xml:space="preserve">o get on in business or succeed in professional life, </w:t>
      </w:r>
      <w:r w:rsidR="00C50A72">
        <w:rPr>
          <w:rFonts w:asciiTheme="minorHAnsi" w:hAnsiTheme="minorHAnsi"/>
          <w:sz w:val="22"/>
          <w:szCs w:val="22"/>
        </w:rPr>
        <w:t xml:space="preserve">women must first </w:t>
      </w:r>
      <w:r w:rsidRPr="00D404BC">
        <w:rPr>
          <w:rFonts w:asciiTheme="minorHAnsi" w:hAnsiTheme="minorHAnsi"/>
          <w:sz w:val="22"/>
          <w:szCs w:val="22"/>
        </w:rPr>
        <w:t>spend</w:t>
      </w:r>
      <w:r w:rsidR="00C50A72">
        <w:rPr>
          <w:rFonts w:asciiTheme="minorHAnsi" w:hAnsiTheme="minorHAnsi"/>
          <w:sz w:val="22"/>
          <w:szCs w:val="22"/>
        </w:rPr>
        <w:t xml:space="preserve"> extravagantly a</w:t>
      </w:r>
      <w:r w:rsidRPr="00D404BC">
        <w:rPr>
          <w:rFonts w:asciiTheme="minorHAnsi" w:hAnsiTheme="minorHAnsi"/>
          <w:sz w:val="22"/>
          <w:szCs w:val="22"/>
        </w:rPr>
        <w:t>t cosmetic counters all over the country</w:t>
      </w:r>
      <w:r w:rsidR="00C50A72">
        <w:rPr>
          <w:rFonts w:asciiTheme="minorHAnsi" w:hAnsiTheme="minorHAnsi"/>
          <w:sz w:val="22"/>
          <w:szCs w:val="22"/>
        </w:rPr>
        <w:t xml:space="preserve"> then </w:t>
      </w:r>
      <w:r w:rsidRPr="00D404BC">
        <w:rPr>
          <w:rFonts w:asciiTheme="minorHAnsi" w:hAnsiTheme="minorHAnsi"/>
          <w:sz w:val="22"/>
          <w:szCs w:val="22"/>
        </w:rPr>
        <w:t>get out the make-up palette.</w:t>
      </w:r>
      <w:r w:rsidR="00C50A72">
        <w:rPr>
          <w:rFonts w:asciiTheme="minorHAnsi" w:hAnsiTheme="minorHAnsi"/>
          <w:sz w:val="22"/>
          <w:szCs w:val="22"/>
        </w:rPr>
        <w:t xml:space="preserve"> Better still, make their way to the </w:t>
      </w:r>
      <w:r w:rsidR="00C50397">
        <w:rPr>
          <w:rFonts w:asciiTheme="minorHAnsi" w:hAnsiTheme="minorHAnsi"/>
          <w:sz w:val="22"/>
          <w:szCs w:val="22"/>
        </w:rPr>
        <w:t xml:space="preserve">nail salon, the hairdresser, the </w:t>
      </w:r>
      <w:proofErr w:type="gramStart"/>
      <w:r w:rsidR="00C50397">
        <w:rPr>
          <w:rFonts w:asciiTheme="minorHAnsi" w:hAnsiTheme="minorHAnsi"/>
          <w:sz w:val="22"/>
          <w:szCs w:val="22"/>
        </w:rPr>
        <w:t>spa</w:t>
      </w:r>
      <w:proofErr w:type="gramEnd"/>
      <w:r w:rsidR="00C50397">
        <w:rPr>
          <w:rFonts w:asciiTheme="minorHAnsi" w:hAnsiTheme="minorHAnsi"/>
          <w:sz w:val="22"/>
          <w:szCs w:val="22"/>
        </w:rPr>
        <w:t xml:space="preserve"> and cosmetologist for the</w:t>
      </w:r>
      <w:r w:rsidR="00157725">
        <w:rPr>
          <w:rFonts w:asciiTheme="minorHAnsi" w:hAnsiTheme="minorHAnsi"/>
          <w:sz w:val="22"/>
          <w:szCs w:val="22"/>
        </w:rPr>
        <w:t xml:space="preserve"> experts </w:t>
      </w:r>
      <w:r w:rsidR="00C50397">
        <w:rPr>
          <w:rFonts w:asciiTheme="minorHAnsi" w:hAnsiTheme="minorHAnsi"/>
          <w:sz w:val="22"/>
          <w:szCs w:val="22"/>
        </w:rPr>
        <w:t>to apply lotions, unguents, creams, gels, ointment, balms – and on top of all that, the makeup.</w:t>
      </w:r>
      <w:r w:rsidR="00B244E6">
        <w:rPr>
          <w:rFonts w:asciiTheme="minorHAnsi" w:hAnsiTheme="minorHAnsi"/>
          <w:sz w:val="22"/>
          <w:szCs w:val="22"/>
        </w:rPr>
        <w:t xml:space="preserve"> The creation of a woman through deft and deliberate use of cosmetic sculpting and camouflage is, however, not new.</w:t>
      </w:r>
    </w:p>
    <w:p w14:paraId="2D8148CE" w14:textId="4316E753" w:rsidR="000D74D9" w:rsidRDefault="000D74D9" w:rsidP="00AC656D">
      <w:pPr>
        <w:pStyle w:val="NormalWeb"/>
        <w:spacing w:before="0" w:beforeAutospacing="0" w:after="0" w:afterAutospacing="0" w:line="276" w:lineRule="auto"/>
        <w:jc w:val="both"/>
        <w:rPr>
          <w:rFonts w:asciiTheme="minorHAnsi" w:hAnsiTheme="minorHAnsi"/>
          <w:sz w:val="22"/>
          <w:szCs w:val="22"/>
        </w:rPr>
      </w:pPr>
    </w:p>
    <w:p w14:paraId="071C1204" w14:textId="1F11D719" w:rsidR="009A000A" w:rsidRDefault="0032031E" w:rsidP="00AC656D">
      <w:pPr>
        <w:pStyle w:val="NormalWeb"/>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In </w:t>
      </w:r>
      <w:r>
        <w:rPr>
          <w:rFonts w:asciiTheme="minorHAnsi" w:hAnsiTheme="minorHAnsi"/>
          <w:i/>
          <w:iCs/>
          <w:sz w:val="22"/>
          <w:szCs w:val="22"/>
        </w:rPr>
        <w:t>The Spectacular Modern Woman – Feminine Visibility in the 1920s</w:t>
      </w:r>
      <w:r>
        <w:rPr>
          <w:rFonts w:asciiTheme="minorHAnsi" w:hAnsiTheme="minorHAnsi"/>
          <w:sz w:val="22"/>
          <w:szCs w:val="22"/>
        </w:rPr>
        <w:t xml:space="preserve">, Liz Conor </w:t>
      </w:r>
      <w:r w:rsidR="00514CC3">
        <w:rPr>
          <w:rFonts w:asciiTheme="minorHAnsi" w:hAnsiTheme="minorHAnsi"/>
          <w:sz w:val="22"/>
          <w:szCs w:val="22"/>
        </w:rPr>
        <w:t>reflects on the early 20</w:t>
      </w:r>
      <w:r w:rsidR="00514CC3" w:rsidRPr="00514CC3">
        <w:rPr>
          <w:rFonts w:asciiTheme="minorHAnsi" w:hAnsiTheme="minorHAnsi"/>
          <w:sz w:val="22"/>
          <w:szCs w:val="22"/>
          <w:vertAlign w:val="superscript"/>
        </w:rPr>
        <w:t>th</w:t>
      </w:r>
      <w:r w:rsidR="00514CC3">
        <w:rPr>
          <w:rFonts w:asciiTheme="minorHAnsi" w:hAnsiTheme="minorHAnsi"/>
          <w:sz w:val="22"/>
          <w:szCs w:val="22"/>
        </w:rPr>
        <w:t xml:space="preserve"> century invention of the woman as spectacle. Women </w:t>
      </w:r>
      <w:r w:rsidR="00091369">
        <w:rPr>
          <w:rFonts w:asciiTheme="minorHAnsi" w:hAnsiTheme="minorHAnsi"/>
          <w:sz w:val="22"/>
          <w:szCs w:val="22"/>
        </w:rPr>
        <w:t xml:space="preserve">emerged </w:t>
      </w:r>
      <w:r w:rsidR="00514CC3">
        <w:rPr>
          <w:rFonts w:asciiTheme="minorHAnsi" w:hAnsiTheme="minorHAnsi"/>
          <w:sz w:val="22"/>
          <w:szCs w:val="22"/>
        </w:rPr>
        <w:t>as types, the approach driven by in</w:t>
      </w:r>
      <w:r w:rsidR="00091369">
        <w:rPr>
          <w:rFonts w:asciiTheme="minorHAnsi" w:hAnsiTheme="minorHAnsi"/>
          <w:sz w:val="22"/>
          <w:szCs w:val="22"/>
        </w:rPr>
        <w:t xml:space="preserve">novations </w:t>
      </w:r>
      <w:r w:rsidR="00514CC3">
        <w:rPr>
          <w:rFonts w:asciiTheme="minorHAnsi" w:hAnsiTheme="minorHAnsi"/>
          <w:sz w:val="22"/>
          <w:szCs w:val="22"/>
        </w:rPr>
        <w:t xml:space="preserve">in visual technology, particularly the cinema. </w:t>
      </w:r>
      <w:r w:rsidR="001348C4">
        <w:rPr>
          <w:rFonts w:asciiTheme="minorHAnsi" w:hAnsiTheme="minorHAnsi"/>
          <w:sz w:val="22"/>
          <w:szCs w:val="22"/>
        </w:rPr>
        <w:t>Conor</w:t>
      </w:r>
      <w:r w:rsidR="00514CC3">
        <w:rPr>
          <w:rFonts w:asciiTheme="minorHAnsi" w:hAnsiTheme="minorHAnsi"/>
          <w:sz w:val="22"/>
          <w:szCs w:val="22"/>
        </w:rPr>
        <w:t xml:space="preserve"> cites Russian filmmaker Lev Kuleshov inventing cinematic techniques placing the ‘spectacle of the “new woman” before the public’.</w:t>
      </w:r>
      <w:r w:rsidR="00514CC3">
        <w:rPr>
          <w:rStyle w:val="EndnoteReference"/>
          <w:rFonts w:asciiTheme="minorHAnsi" w:hAnsiTheme="minorHAnsi"/>
          <w:sz w:val="22"/>
          <w:szCs w:val="22"/>
        </w:rPr>
        <w:endnoteReference w:id="2"/>
      </w:r>
      <w:r w:rsidR="001456B7">
        <w:rPr>
          <w:rFonts w:asciiTheme="minorHAnsi" w:hAnsiTheme="minorHAnsi"/>
          <w:sz w:val="22"/>
          <w:szCs w:val="22"/>
        </w:rPr>
        <w:t xml:space="preserve"> This development occurr</w:t>
      </w:r>
      <w:r w:rsidR="0020610C">
        <w:rPr>
          <w:rFonts w:asciiTheme="minorHAnsi" w:hAnsiTheme="minorHAnsi"/>
          <w:sz w:val="22"/>
          <w:szCs w:val="22"/>
        </w:rPr>
        <w:t>ed</w:t>
      </w:r>
      <w:r w:rsidR="001456B7">
        <w:rPr>
          <w:rFonts w:asciiTheme="minorHAnsi" w:hAnsiTheme="minorHAnsi"/>
          <w:sz w:val="22"/>
          <w:szCs w:val="22"/>
        </w:rPr>
        <w:t xml:space="preserve"> simultaneously with the </w:t>
      </w:r>
      <w:r w:rsidR="00514CC3">
        <w:rPr>
          <w:rFonts w:asciiTheme="minorHAnsi" w:hAnsiTheme="minorHAnsi"/>
          <w:sz w:val="22"/>
          <w:szCs w:val="22"/>
        </w:rPr>
        <w:t>1920s</w:t>
      </w:r>
      <w:r w:rsidR="001456B7">
        <w:rPr>
          <w:rFonts w:asciiTheme="minorHAnsi" w:hAnsiTheme="minorHAnsi"/>
          <w:sz w:val="22"/>
          <w:szCs w:val="22"/>
        </w:rPr>
        <w:t xml:space="preserve"> identification of women as being or becoming</w:t>
      </w:r>
      <w:r w:rsidR="0020610C">
        <w:rPr>
          <w:rFonts w:asciiTheme="minorHAnsi" w:hAnsiTheme="minorHAnsi"/>
          <w:sz w:val="22"/>
          <w:szCs w:val="22"/>
        </w:rPr>
        <w:t xml:space="preserve"> </w:t>
      </w:r>
      <w:r w:rsidR="00091369">
        <w:rPr>
          <w:rFonts w:asciiTheme="minorHAnsi" w:hAnsiTheme="minorHAnsi"/>
          <w:sz w:val="22"/>
          <w:szCs w:val="22"/>
        </w:rPr>
        <w:t xml:space="preserve">classified as </w:t>
      </w:r>
      <w:r w:rsidR="0020610C">
        <w:rPr>
          <w:rFonts w:asciiTheme="minorHAnsi" w:hAnsiTheme="minorHAnsi"/>
          <w:sz w:val="22"/>
          <w:szCs w:val="22"/>
        </w:rPr>
        <w:t xml:space="preserve">‘the modern woman’: the City or Business Girl, the Screen Star, the Beauty Contestant, or the Flapper.  </w:t>
      </w:r>
      <w:r w:rsidR="00B82FC4">
        <w:rPr>
          <w:rFonts w:asciiTheme="minorHAnsi" w:hAnsiTheme="minorHAnsi"/>
          <w:sz w:val="22"/>
          <w:szCs w:val="22"/>
        </w:rPr>
        <w:t xml:space="preserve">Women had for long been represented in art as body types – </w:t>
      </w:r>
      <w:r w:rsidR="003A0FED">
        <w:rPr>
          <w:rFonts w:asciiTheme="minorHAnsi" w:hAnsiTheme="minorHAnsi"/>
          <w:sz w:val="22"/>
          <w:szCs w:val="22"/>
        </w:rPr>
        <w:t xml:space="preserve">the full-bodied </w:t>
      </w:r>
      <w:r w:rsidR="00906D84">
        <w:rPr>
          <w:rFonts w:asciiTheme="minorHAnsi" w:hAnsiTheme="minorHAnsi"/>
          <w:sz w:val="22"/>
          <w:szCs w:val="22"/>
        </w:rPr>
        <w:t>type</w:t>
      </w:r>
      <w:r w:rsidR="00091369">
        <w:rPr>
          <w:rFonts w:asciiTheme="minorHAnsi" w:hAnsiTheme="minorHAnsi"/>
          <w:sz w:val="22"/>
          <w:szCs w:val="22"/>
        </w:rPr>
        <w:t xml:space="preserve"> </w:t>
      </w:r>
      <w:r w:rsidR="003A0FED">
        <w:rPr>
          <w:rFonts w:asciiTheme="minorHAnsi" w:hAnsiTheme="minorHAnsi"/>
          <w:sz w:val="22"/>
          <w:szCs w:val="22"/>
        </w:rPr>
        <w:t>more frequently d</w:t>
      </w:r>
      <w:r w:rsidR="00091369">
        <w:rPr>
          <w:rFonts w:asciiTheme="minorHAnsi" w:hAnsiTheme="minorHAnsi"/>
          <w:sz w:val="22"/>
          <w:szCs w:val="22"/>
        </w:rPr>
        <w:t>ominant</w:t>
      </w:r>
      <w:r w:rsidR="001348C4">
        <w:rPr>
          <w:rFonts w:asciiTheme="minorHAnsi" w:hAnsiTheme="minorHAnsi"/>
          <w:sz w:val="22"/>
          <w:szCs w:val="22"/>
        </w:rPr>
        <w:t xml:space="preserve">, </w:t>
      </w:r>
      <w:r w:rsidR="006C00F5">
        <w:rPr>
          <w:rFonts w:asciiTheme="minorHAnsi" w:hAnsiTheme="minorHAnsi"/>
          <w:sz w:val="22"/>
          <w:szCs w:val="22"/>
        </w:rPr>
        <w:t>the less pronounced endowments of others n</w:t>
      </w:r>
      <w:r w:rsidR="003A0FED">
        <w:rPr>
          <w:rFonts w:asciiTheme="minorHAnsi" w:hAnsiTheme="minorHAnsi"/>
          <w:sz w:val="22"/>
          <w:szCs w:val="22"/>
        </w:rPr>
        <w:t xml:space="preserve">onetheless </w:t>
      </w:r>
      <w:r w:rsidR="001348C4">
        <w:rPr>
          <w:rFonts w:asciiTheme="minorHAnsi" w:hAnsiTheme="minorHAnsi"/>
          <w:sz w:val="22"/>
          <w:szCs w:val="22"/>
        </w:rPr>
        <w:t>having some prominence</w:t>
      </w:r>
      <w:r w:rsidR="00906D84">
        <w:rPr>
          <w:rFonts w:asciiTheme="minorHAnsi" w:hAnsiTheme="minorHAnsi"/>
          <w:sz w:val="22"/>
          <w:szCs w:val="22"/>
        </w:rPr>
        <w:t xml:space="preserve">. </w:t>
      </w:r>
      <w:r w:rsidR="00B82FC4">
        <w:rPr>
          <w:rFonts w:asciiTheme="minorHAnsi" w:hAnsiTheme="minorHAnsi"/>
          <w:sz w:val="22"/>
          <w:szCs w:val="22"/>
        </w:rPr>
        <w:t>Rubens’</w:t>
      </w:r>
      <w:r w:rsidR="003A0FED">
        <w:rPr>
          <w:rFonts w:asciiTheme="minorHAnsi" w:hAnsiTheme="minorHAnsi"/>
          <w:sz w:val="22"/>
          <w:szCs w:val="22"/>
        </w:rPr>
        <w:t xml:space="preserve"> (1577-1640)</w:t>
      </w:r>
      <w:r w:rsidR="00B82FC4">
        <w:rPr>
          <w:rFonts w:asciiTheme="minorHAnsi" w:hAnsiTheme="minorHAnsi"/>
          <w:sz w:val="22"/>
          <w:szCs w:val="22"/>
        </w:rPr>
        <w:t xml:space="preserve"> </w:t>
      </w:r>
      <w:r w:rsidR="006C00F5">
        <w:rPr>
          <w:rFonts w:asciiTheme="minorHAnsi" w:hAnsiTheme="minorHAnsi"/>
          <w:sz w:val="22"/>
          <w:szCs w:val="22"/>
        </w:rPr>
        <w:t xml:space="preserve">voluptuously configured </w:t>
      </w:r>
      <w:r w:rsidR="00B82FC4">
        <w:rPr>
          <w:rFonts w:asciiTheme="minorHAnsi" w:hAnsiTheme="minorHAnsi"/>
          <w:sz w:val="22"/>
          <w:szCs w:val="22"/>
        </w:rPr>
        <w:t xml:space="preserve">nudes </w:t>
      </w:r>
      <w:r w:rsidR="009A6DED">
        <w:rPr>
          <w:rFonts w:asciiTheme="minorHAnsi" w:hAnsiTheme="minorHAnsi"/>
          <w:sz w:val="22"/>
          <w:szCs w:val="22"/>
        </w:rPr>
        <w:t xml:space="preserve">stimulated </w:t>
      </w:r>
      <w:r w:rsidR="00B82FC4">
        <w:rPr>
          <w:rFonts w:asciiTheme="minorHAnsi" w:hAnsiTheme="minorHAnsi"/>
          <w:sz w:val="22"/>
          <w:szCs w:val="22"/>
        </w:rPr>
        <w:t>notion</w:t>
      </w:r>
      <w:r w:rsidR="003A0FED">
        <w:rPr>
          <w:rFonts w:asciiTheme="minorHAnsi" w:hAnsiTheme="minorHAnsi"/>
          <w:sz w:val="22"/>
          <w:szCs w:val="22"/>
        </w:rPr>
        <w:t>s</w:t>
      </w:r>
      <w:r w:rsidR="00B82FC4">
        <w:rPr>
          <w:rFonts w:asciiTheme="minorHAnsi" w:hAnsiTheme="minorHAnsi"/>
          <w:sz w:val="22"/>
          <w:szCs w:val="22"/>
        </w:rPr>
        <w:t xml:space="preserve"> of </w:t>
      </w:r>
      <w:r w:rsidR="00906D84">
        <w:rPr>
          <w:rFonts w:asciiTheme="minorHAnsi" w:hAnsiTheme="minorHAnsi"/>
          <w:sz w:val="22"/>
          <w:szCs w:val="22"/>
        </w:rPr>
        <w:t>desire as located in t</w:t>
      </w:r>
      <w:r w:rsidR="00B82FC4">
        <w:rPr>
          <w:rFonts w:asciiTheme="minorHAnsi" w:hAnsiTheme="minorHAnsi"/>
          <w:sz w:val="22"/>
          <w:szCs w:val="22"/>
        </w:rPr>
        <w:t>he Rubenesque</w:t>
      </w:r>
      <w:r w:rsidR="00906D84">
        <w:rPr>
          <w:rFonts w:asciiTheme="minorHAnsi" w:hAnsiTheme="minorHAnsi"/>
          <w:sz w:val="22"/>
          <w:szCs w:val="22"/>
        </w:rPr>
        <w:t xml:space="preserve"> model</w:t>
      </w:r>
      <w:r w:rsidR="00091369">
        <w:rPr>
          <w:rFonts w:asciiTheme="minorHAnsi" w:hAnsiTheme="minorHAnsi"/>
          <w:sz w:val="22"/>
          <w:szCs w:val="22"/>
        </w:rPr>
        <w:t>. T</w:t>
      </w:r>
      <w:r w:rsidR="00B82FC4">
        <w:rPr>
          <w:rFonts w:asciiTheme="minorHAnsi" w:hAnsiTheme="minorHAnsi"/>
          <w:sz w:val="22"/>
          <w:szCs w:val="22"/>
        </w:rPr>
        <w:t xml:space="preserve">he earlier curvaceousness of the Venus de Milo </w:t>
      </w:r>
      <w:r w:rsidR="00091369">
        <w:rPr>
          <w:rFonts w:asciiTheme="minorHAnsi" w:hAnsiTheme="minorHAnsi"/>
          <w:sz w:val="22"/>
          <w:szCs w:val="22"/>
        </w:rPr>
        <w:t>combined sleekly rounded body lines with the modesty of hand-over-pudenda, a hidden yet exposed sexuality projected through a visual image. A</w:t>
      </w:r>
      <w:r w:rsidR="00B82FC4">
        <w:rPr>
          <w:rFonts w:asciiTheme="minorHAnsi" w:hAnsiTheme="minorHAnsi"/>
          <w:sz w:val="22"/>
          <w:szCs w:val="22"/>
        </w:rPr>
        <w:t xml:space="preserve">nd, longer before that, the </w:t>
      </w:r>
      <w:r w:rsidR="00906D84">
        <w:rPr>
          <w:rFonts w:asciiTheme="minorHAnsi" w:hAnsiTheme="minorHAnsi"/>
          <w:sz w:val="22"/>
          <w:szCs w:val="22"/>
        </w:rPr>
        <w:t xml:space="preserve">Venus </w:t>
      </w:r>
      <w:proofErr w:type="spellStart"/>
      <w:r w:rsidR="00906D84">
        <w:rPr>
          <w:rFonts w:asciiTheme="minorHAnsi" w:hAnsiTheme="minorHAnsi"/>
          <w:sz w:val="22"/>
          <w:szCs w:val="22"/>
        </w:rPr>
        <w:t>impudica</w:t>
      </w:r>
      <w:proofErr w:type="spellEnd"/>
      <w:r w:rsidR="00906D84">
        <w:rPr>
          <w:rFonts w:asciiTheme="minorHAnsi" w:hAnsiTheme="minorHAnsi"/>
          <w:sz w:val="22"/>
          <w:szCs w:val="22"/>
        </w:rPr>
        <w:t xml:space="preserve"> or Venus </w:t>
      </w:r>
      <w:proofErr w:type="spellStart"/>
      <w:r w:rsidR="00906D84">
        <w:rPr>
          <w:rFonts w:asciiTheme="minorHAnsi" w:hAnsiTheme="minorHAnsi"/>
          <w:sz w:val="22"/>
          <w:szCs w:val="22"/>
        </w:rPr>
        <w:t>impudique</w:t>
      </w:r>
      <w:proofErr w:type="spellEnd"/>
      <w:r w:rsidR="00906D84">
        <w:rPr>
          <w:rFonts w:asciiTheme="minorHAnsi" w:hAnsiTheme="minorHAnsi"/>
          <w:sz w:val="22"/>
          <w:szCs w:val="22"/>
        </w:rPr>
        <w:t xml:space="preserve"> (‘immodest Venus’) with her rounded abdomen and thighs supporting pendulous breasts projected </w:t>
      </w:r>
      <w:r w:rsidR="00091369">
        <w:rPr>
          <w:rFonts w:asciiTheme="minorHAnsi" w:hAnsiTheme="minorHAnsi"/>
          <w:sz w:val="22"/>
          <w:szCs w:val="22"/>
        </w:rPr>
        <w:t xml:space="preserve">passion </w:t>
      </w:r>
      <w:r w:rsidR="00906D84">
        <w:rPr>
          <w:rFonts w:asciiTheme="minorHAnsi" w:hAnsiTheme="minorHAnsi"/>
          <w:sz w:val="22"/>
          <w:szCs w:val="22"/>
        </w:rPr>
        <w:t xml:space="preserve">as associated with womanly flesh. </w:t>
      </w:r>
      <w:r w:rsidR="001348C4">
        <w:rPr>
          <w:rFonts w:asciiTheme="minorHAnsi" w:hAnsiTheme="minorHAnsi"/>
          <w:sz w:val="22"/>
          <w:szCs w:val="22"/>
        </w:rPr>
        <w:t xml:space="preserve">Yet </w:t>
      </w:r>
      <w:r w:rsidR="003A0FED">
        <w:rPr>
          <w:rFonts w:asciiTheme="minorHAnsi" w:hAnsiTheme="minorHAnsi"/>
          <w:sz w:val="22"/>
          <w:szCs w:val="22"/>
        </w:rPr>
        <w:t xml:space="preserve">Degas’ (1834-1917) slender-bodied, lithe limbed dancers swirled and twirled into </w:t>
      </w:r>
      <w:r w:rsidR="009A6DED">
        <w:rPr>
          <w:rFonts w:asciiTheme="minorHAnsi" w:hAnsiTheme="minorHAnsi"/>
          <w:sz w:val="22"/>
          <w:szCs w:val="22"/>
        </w:rPr>
        <w:t xml:space="preserve">fashion </w:t>
      </w:r>
      <w:r w:rsidR="003A0FED">
        <w:rPr>
          <w:rFonts w:asciiTheme="minorHAnsi" w:hAnsiTheme="minorHAnsi"/>
          <w:sz w:val="22"/>
          <w:szCs w:val="22"/>
        </w:rPr>
        <w:t xml:space="preserve">alongside </w:t>
      </w:r>
      <w:r w:rsidR="009A6DED">
        <w:rPr>
          <w:rFonts w:asciiTheme="minorHAnsi" w:hAnsiTheme="minorHAnsi"/>
          <w:sz w:val="22"/>
          <w:szCs w:val="22"/>
        </w:rPr>
        <w:t xml:space="preserve">the vogueishness of </w:t>
      </w:r>
      <w:r w:rsidR="001348C4">
        <w:rPr>
          <w:rFonts w:asciiTheme="minorHAnsi" w:hAnsiTheme="minorHAnsi"/>
          <w:sz w:val="22"/>
          <w:szCs w:val="22"/>
        </w:rPr>
        <w:t xml:space="preserve">Modigliani’s </w:t>
      </w:r>
      <w:r w:rsidR="003A0FED">
        <w:rPr>
          <w:rFonts w:asciiTheme="minorHAnsi" w:hAnsiTheme="minorHAnsi"/>
          <w:sz w:val="22"/>
          <w:szCs w:val="22"/>
        </w:rPr>
        <w:t xml:space="preserve">(1884-1920) </w:t>
      </w:r>
      <w:r w:rsidR="009A6DED">
        <w:rPr>
          <w:rFonts w:asciiTheme="minorHAnsi" w:hAnsiTheme="minorHAnsi"/>
          <w:sz w:val="22"/>
          <w:szCs w:val="22"/>
        </w:rPr>
        <w:t xml:space="preserve">models’ </w:t>
      </w:r>
      <w:r w:rsidR="001348C4">
        <w:rPr>
          <w:rFonts w:asciiTheme="minorHAnsi" w:hAnsiTheme="minorHAnsi"/>
          <w:sz w:val="22"/>
          <w:szCs w:val="22"/>
        </w:rPr>
        <w:t xml:space="preserve">elongated faces and </w:t>
      </w:r>
      <w:r w:rsidR="003A0FED">
        <w:rPr>
          <w:rFonts w:asciiTheme="minorHAnsi" w:hAnsiTheme="minorHAnsi"/>
          <w:sz w:val="22"/>
          <w:szCs w:val="22"/>
        </w:rPr>
        <w:t xml:space="preserve">lean </w:t>
      </w:r>
      <w:r w:rsidR="001348C4">
        <w:rPr>
          <w:rFonts w:asciiTheme="minorHAnsi" w:hAnsiTheme="minorHAnsi"/>
          <w:sz w:val="22"/>
          <w:szCs w:val="22"/>
        </w:rPr>
        <w:t>bodies</w:t>
      </w:r>
      <w:r w:rsidR="009A6DED">
        <w:rPr>
          <w:rFonts w:asciiTheme="minorHAnsi" w:hAnsiTheme="minorHAnsi"/>
          <w:sz w:val="22"/>
          <w:szCs w:val="22"/>
        </w:rPr>
        <w:t>.</w:t>
      </w:r>
      <w:r w:rsidR="001348C4">
        <w:rPr>
          <w:rFonts w:asciiTheme="minorHAnsi" w:hAnsiTheme="minorHAnsi"/>
          <w:sz w:val="22"/>
          <w:szCs w:val="22"/>
        </w:rPr>
        <w:t xml:space="preserve"> </w:t>
      </w:r>
      <w:r w:rsidR="00AC6A74">
        <w:rPr>
          <w:rFonts w:asciiTheme="minorHAnsi" w:hAnsiTheme="minorHAnsi"/>
          <w:sz w:val="22"/>
          <w:szCs w:val="22"/>
        </w:rPr>
        <w:t xml:space="preserve">Some women would have been influenced by these images. </w:t>
      </w:r>
      <w:r w:rsidR="009A000A">
        <w:rPr>
          <w:rFonts w:asciiTheme="minorHAnsi" w:hAnsiTheme="minorHAnsi"/>
          <w:sz w:val="22"/>
          <w:szCs w:val="22"/>
        </w:rPr>
        <w:t>T</w:t>
      </w:r>
      <w:r w:rsidR="00AC6A74">
        <w:rPr>
          <w:rFonts w:asciiTheme="minorHAnsi" w:hAnsiTheme="minorHAnsi"/>
          <w:sz w:val="22"/>
          <w:szCs w:val="22"/>
        </w:rPr>
        <w:t xml:space="preserve">hose whose lives were led in </w:t>
      </w:r>
      <w:r w:rsidR="004043C1">
        <w:rPr>
          <w:rFonts w:asciiTheme="minorHAnsi" w:hAnsiTheme="minorHAnsi"/>
          <w:sz w:val="22"/>
          <w:szCs w:val="22"/>
        </w:rPr>
        <w:t>the public eye, whether as artists</w:t>
      </w:r>
      <w:r w:rsidR="009A000A">
        <w:rPr>
          <w:rFonts w:asciiTheme="minorHAnsi" w:hAnsiTheme="minorHAnsi"/>
          <w:sz w:val="22"/>
          <w:szCs w:val="22"/>
        </w:rPr>
        <w:t>’</w:t>
      </w:r>
      <w:r w:rsidR="004043C1">
        <w:rPr>
          <w:rFonts w:asciiTheme="minorHAnsi" w:hAnsiTheme="minorHAnsi"/>
          <w:sz w:val="22"/>
          <w:szCs w:val="22"/>
        </w:rPr>
        <w:t xml:space="preserve"> muses themselves, actresses or ladies of the night</w:t>
      </w:r>
      <w:r w:rsidR="009A000A">
        <w:rPr>
          <w:rFonts w:asciiTheme="minorHAnsi" w:hAnsiTheme="minorHAnsi"/>
          <w:sz w:val="22"/>
          <w:szCs w:val="22"/>
        </w:rPr>
        <w:t xml:space="preserve"> would have been particularly susceptible to </w:t>
      </w:r>
      <w:r w:rsidR="00551C0A">
        <w:rPr>
          <w:rFonts w:asciiTheme="minorHAnsi" w:hAnsiTheme="minorHAnsi"/>
          <w:sz w:val="22"/>
          <w:szCs w:val="22"/>
        </w:rPr>
        <w:t>the fashion of the body.</w:t>
      </w:r>
      <w:r w:rsidR="00D5061A">
        <w:rPr>
          <w:rFonts w:asciiTheme="minorHAnsi" w:hAnsiTheme="minorHAnsi"/>
          <w:sz w:val="22"/>
          <w:szCs w:val="22"/>
        </w:rPr>
        <w:t xml:space="preserve">  </w:t>
      </w:r>
    </w:p>
    <w:p w14:paraId="2495BAA7" w14:textId="77777777" w:rsidR="009A000A" w:rsidRDefault="009A000A" w:rsidP="00AC656D">
      <w:pPr>
        <w:pStyle w:val="NormalWeb"/>
        <w:spacing w:before="0" w:beforeAutospacing="0" w:after="0" w:afterAutospacing="0" w:line="276" w:lineRule="auto"/>
        <w:jc w:val="both"/>
        <w:rPr>
          <w:rFonts w:asciiTheme="minorHAnsi" w:hAnsiTheme="minorHAnsi"/>
          <w:sz w:val="22"/>
          <w:szCs w:val="22"/>
        </w:rPr>
      </w:pPr>
    </w:p>
    <w:p w14:paraId="36F74667" w14:textId="2A1B7BA7" w:rsidR="00906D84" w:rsidRDefault="00551C0A" w:rsidP="00AC656D">
      <w:pPr>
        <w:pStyle w:val="NormalWeb"/>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T</w:t>
      </w:r>
      <w:r w:rsidR="00846F3F">
        <w:rPr>
          <w:rFonts w:asciiTheme="minorHAnsi" w:hAnsiTheme="minorHAnsi"/>
          <w:sz w:val="22"/>
          <w:szCs w:val="22"/>
        </w:rPr>
        <w:t>he modern era of public transport</w:t>
      </w:r>
      <w:r>
        <w:rPr>
          <w:rFonts w:asciiTheme="minorHAnsi" w:hAnsiTheme="minorHAnsi"/>
          <w:sz w:val="22"/>
          <w:szCs w:val="22"/>
        </w:rPr>
        <w:t xml:space="preserve">, together with the development of department stores, released </w:t>
      </w:r>
      <w:r w:rsidR="009A000A">
        <w:rPr>
          <w:rFonts w:asciiTheme="minorHAnsi" w:hAnsiTheme="minorHAnsi"/>
          <w:sz w:val="22"/>
          <w:szCs w:val="22"/>
        </w:rPr>
        <w:t xml:space="preserve">many more </w:t>
      </w:r>
      <w:r w:rsidR="00846F3F">
        <w:rPr>
          <w:rFonts w:asciiTheme="minorHAnsi" w:hAnsiTheme="minorHAnsi"/>
          <w:sz w:val="22"/>
          <w:szCs w:val="22"/>
        </w:rPr>
        <w:t>women into public space</w:t>
      </w:r>
      <w:r>
        <w:rPr>
          <w:rFonts w:asciiTheme="minorHAnsi" w:hAnsiTheme="minorHAnsi"/>
          <w:sz w:val="22"/>
          <w:szCs w:val="22"/>
        </w:rPr>
        <w:t>. Conor reflects on this as setting the stage for w</w:t>
      </w:r>
      <w:r w:rsidR="00846F3F">
        <w:rPr>
          <w:rFonts w:asciiTheme="minorHAnsi" w:hAnsiTheme="minorHAnsi"/>
          <w:sz w:val="22"/>
          <w:szCs w:val="22"/>
        </w:rPr>
        <w:t xml:space="preserve">omen to reflect more critically upon their own appearance, </w:t>
      </w:r>
      <w:r>
        <w:rPr>
          <w:rFonts w:asciiTheme="minorHAnsi" w:hAnsiTheme="minorHAnsi"/>
          <w:sz w:val="22"/>
          <w:szCs w:val="22"/>
        </w:rPr>
        <w:t xml:space="preserve">with </w:t>
      </w:r>
      <w:r w:rsidR="00846F3F">
        <w:rPr>
          <w:rFonts w:asciiTheme="minorHAnsi" w:hAnsiTheme="minorHAnsi"/>
          <w:sz w:val="22"/>
          <w:szCs w:val="22"/>
        </w:rPr>
        <w:t xml:space="preserve">their appearance being subjected to more intense critique. ‘Public womanhood,’ she writes, ‘gained “cultural influence” by earning academic degrees, lecturing and speaking in public, travelling alone, attending </w:t>
      </w:r>
      <w:proofErr w:type="spellStart"/>
      <w:r w:rsidR="00846F3F">
        <w:rPr>
          <w:rFonts w:asciiTheme="minorHAnsi" w:hAnsiTheme="minorHAnsi"/>
          <w:sz w:val="22"/>
          <w:szCs w:val="22"/>
        </w:rPr>
        <w:t>theaters</w:t>
      </w:r>
      <w:proofErr w:type="spellEnd"/>
      <w:r w:rsidR="00846F3F">
        <w:rPr>
          <w:rFonts w:asciiTheme="minorHAnsi" w:hAnsiTheme="minorHAnsi"/>
          <w:sz w:val="22"/>
          <w:szCs w:val="22"/>
        </w:rPr>
        <w:t xml:space="preserve"> and dance halls, shopping in department stores, and riding </w:t>
      </w:r>
      <w:proofErr w:type="gramStart"/>
      <w:r w:rsidR="00846F3F">
        <w:rPr>
          <w:rFonts w:asciiTheme="minorHAnsi" w:hAnsiTheme="minorHAnsi"/>
          <w:sz w:val="22"/>
          <w:szCs w:val="22"/>
        </w:rPr>
        <w:t>bicycles’</w:t>
      </w:r>
      <w:proofErr w:type="gramEnd"/>
      <w:r w:rsidR="00846F3F">
        <w:rPr>
          <w:rFonts w:asciiTheme="minorHAnsi" w:hAnsiTheme="minorHAnsi"/>
          <w:sz w:val="22"/>
          <w:szCs w:val="22"/>
        </w:rPr>
        <w:t>.</w:t>
      </w:r>
      <w:r w:rsidR="00375720">
        <w:rPr>
          <w:rStyle w:val="EndnoteReference"/>
          <w:rFonts w:asciiTheme="minorHAnsi" w:hAnsiTheme="minorHAnsi"/>
          <w:sz w:val="22"/>
          <w:szCs w:val="22"/>
        </w:rPr>
        <w:endnoteReference w:id="3"/>
      </w:r>
      <w:r w:rsidR="00846F3F">
        <w:rPr>
          <w:rFonts w:asciiTheme="minorHAnsi" w:hAnsiTheme="minorHAnsi"/>
          <w:sz w:val="22"/>
          <w:szCs w:val="22"/>
        </w:rPr>
        <w:t xml:space="preserve"> </w:t>
      </w:r>
      <w:r>
        <w:rPr>
          <w:rFonts w:asciiTheme="minorHAnsi" w:hAnsiTheme="minorHAnsi"/>
          <w:sz w:val="22"/>
          <w:szCs w:val="22"/>
        </w:rPr>
        <w:t>So, too, with the growth of office jobs, librarianship, nursing and teaching. These n</w:t>
      </w:r>
      <w:r w:rsidR="002471B3">
        <w:rPr>
          <w:rFonts w:asciiTheme="minorHAnsi" w:hAnsiTheme="minorHAnsi"/>
          <w:sz w:val="22"/>
          <w:szCs w:val="22"/>
        </w:rPr>
        <w:t>ew avenues of paid employment led women and girls on</w:t>
      </w:r>
      <w:r>
        <w:rPr>
          <w:rFonts w:asciiTheme="minorHAnsi" w:hAnsiTheme="minorHAnsi"/>
          <w:sz w:val="22"/>
          <w:szCs w:val="22"/>
        </w:rPr>
        <w:t>t</w:t>
      </w:r>
      <w:r w:rsidR="002471B3">
        <w:rPr>
          <w:rFonts w:asciiTheme="minorHAnsi" w:hAnsiTheme="minorHAnsi"/>
          <w:sz w:val="22"/>
          <w:szCs w:val="22"/>
        </w:rPr>
        <w:t xml:space="preserve">o </w:t>
      </w:r>
      <w:r w:rsidR="00C57ABE">
        <w:rPr>
          <w:rFonts w:asciiTheme="minorHAnsi" w:hAnsiTheme="minorHAnsi"/>
          <w:sz w:val="22"/>
          <w:szCs w:val="22"/>
        </w:rPr>
        <w:t xml:space="preserve">streets and </w:t>
      </w:r>
      <w:r w:rsidR="00394529">
        <w:rPr>
          <w:rFonts w:asciiTheme="minorHAnsi" w:hAnsiTheme="minorHAnsi"/>
          <w:sz w:val="22"/>
          <w:szCs w:val="22"/>
        </w:rPr>
        <w:t xml:space="preserve">ferries, and </w:t>
      </w:r>
      <w:r w:rsidR="00C57ABE">
        <w:rPr>
          <w:rFonts w:asciiTheme="minorHAnsi" w:hAnsiTheme="minorHAnsi"/>
          <w:sz w:val="22"/>
          <w:szCs w:val="22"/>
        </w:rPr>
        <w:t>into omnibuses, then onto the tube</w:t>
      </w:r>
      <w:r w:rsidR="00394529">
        <w:rPr>
          <w:rFonts w:asciiTheme="minorHAnsi" w:hAnsiTheme="minorHAnsi"/>
          <w:sz w:val="22"/>
          <w:szCs w:val="22"/>
        </w:rPr>
        <w:t xml:space="preserve"> as it became more acceptable</w:t>
      </w:r>
      <w:r w:rsidR="00C57ABE">
        <w:rPr>
          <w:rFonts w:asciiTheme="minorHAnsi" w:hAnsiTheme="minorHAnsi"/>
          <w:sz w:val="22"/>
          <w:szCs w:val="22"/>
        </w:rPr>
        <w:t xml:space="preserve">. </w:t>
      </w:r>
      <w:r w:rsidR="00394529">
        <w:rPr>
          <w:rFonts w:asciiTheme="minorHAnsi" w:hAnsiTheme="minorHAnsi"/>
          <w:sz w:val="22"/>
          <w:szCs w:val="22"/>
        </w:rPr>
        <w:t>A</w:t>
      </w:r>
      <w:r w:rsidR="00846F3F">
        <w:rPr>
          <w:rFonts w:asciiTheme="minorHAnsi" w:hAnsiTheme="minorHAnsi"/>
          <w:sz w:val="22"/>
          <w:szCs w:val="22"/>
        </w:rPr>
        <w:t xml:space="preserve">long with </w:t>
      </w:r>
      <w:r w:rsidR="00394529">
        <w:rPr>
          <w:rFonts w:asciiTheme="minorHAnsi" w:hAnsiTheme="minorHAnsi"/>
          <w:sz w:val="22"/>
          <w:szCs w:val="22"/>
        </w:rPr>
        <w:t xml:space="preserve">this </w:t>
      </w:r>
      <w:r w:rsidR="00846F3F">
        <w:rPr>
          <w:rFonts w:asciiTheme="minorHAnsi" w:hAnsiTheme="minorHAnsi"/>
          <w:sz w:val="22"/>
          <w:szCs w:val="22"/>
        </w:rPr>
        <w:t>freedom of movement came subjection to the male gaze</w:t>
      </w:r>
      <w:r w:rsidR="002471B3">
        <w:rPr>
          <w:rFonts w:asciiTheme="minorHAnsi" w:hAnsiTheme="minorHAnsi"/>
          <w:sz w:val="22"/>
          <w:szCs w:val="22"/>
        </w:rPr>
        <w:t>. Public exposure made women more aware of their bodies, of how they looked – and were looked at.</w:t>
      </w:r>
      <w:r w:rsidR="00C57ABE">
        <w:rPr>
          <w:rFonts w:asciiTheme="minorHAnsi" w:hAnsiTheme="minorHAnsi"/>
          <w:sz w:val="22"/>
          <w:szCs w:val="22"/>
        </w:rPr>
        <w:t xml:space="preserve"> Sitting on public buses or </w:t>
      </w:r>
      <w:r w:rsidR="00394529">
        <w:rPr>
          <w:rFonts w:asciiTheme="minorHAnsi" w:hAnsiTheme="minorHAnsi"/>
          <w:sz w:val="22"/>
          <w:szCs w:val="22"/>
        </w:rPr>
        <w:t xml:space="preserve">in railway carriages </w:t>
      </w:r>
      <w:r w:rsidR="00C57ABE">
        <w:rPr>
          <w:rFonts w:asciiTheme="minorHAnsi" w:hAnsiTheme="minorHAnsi"/>
          <w:sz w:val="22"/>
          <w:szCs w:val="22"/>
        </w:rPr>
        <w:t>meant opening oneself up to public scrutiny. Some women relished the attention which came from being under observation</w:t>
      </w:r>
      <w:r w:rsidR="00394529">
        <w:rPr>
          <w:rFonts w:asciiTheme="minorHAnsi" w:hAnsiTheme="minorHAnsi"/>
          <w:sz w:val="22"/>
          <w:szCs w:val="22"/>
        </w:rPr>
        <w:t>. F</w:t>
      </w:r>
      <w:r w:rsidR="00C57ABE">
        <w:rPr>
          <w:rFonts w:asciiTheme="minorHAnsi" w:hAnsiTheme="minorHAnsi"/>
          <w:sz w:val="22"/>
          <w:szCs w:val="22"/>
        </w:rPr>
        <w:t>ootpaths and offices becoming ‘</w:t>
      </w:r>
      <w:proofErr w:type="spellStart"/>
      <w:r w:rsidR="00C57ABE">
        <w:rPr>
          <w:rFonts w:asciiTheme="minorHAnsi" w:hAnsiTheme="minorHAnsi"/>
          <w:sz w:val="22"/>
          <w:szCs w:val="22"/>
        </w:rPr>
        <w:t>theaters</w:t>
      </w:r>
      <w:proofErr w:type="spellEnd"/>
      <w:r w:rsidR="00C57ABE">
        <w:rPr>
          <w:rFonts w:asciiTheme="minorHAnsi" w:hAnsiTheme="minorHAnsi"/>
          <w:sz w:val="22"/>
          <w:szCs w:val="22"/>
        </w:rPr>
        <w:t xml:space="preserve"> to these types of City Girl, places where [they] distracted, displaced, and visually overpowered men’. They wanted, says Conor, ‘to be part of the scene as spectacles, reputedly shortening their skirts to excite more attention ….’</w:t>
      </w:r>
      <w:r w:rsidR="00C57ABE">
        <w:rPr>
          <w:rStyle w:val="EndnoteReference"/>
          <w:rFonts w:asciiTheme="minorHAnsi" w:hAnsiTheme="minorHAnsi"/>
          <w:sz w:val="22"/>
          <w:szCs w:val="22"/>
        </w:rPr>
        <w:endnoteReference w:id="4"/>
      </w:r>
      <w:r w:rsidR="00C57ABE">
        <w:rPr>
          <w:rFonts w:asciiTheme="minorHAnsi" w:hAnsiTheme="minorHAnsi"/>
          <w:sz w:val="22"/>
          <w:szCs w:val="22"/>
        </w:rPr>
        <w:t xml:space="preserve"> </w:t>
      </w:r>
      <w:r w:rsidR="002471B3">
        <w:rPr>
          <w:rFonts w:asciiTheme="minorHAnsi" w:hAnsiTheme="minorHAnsi"/>
          <w:sz w:val="22"/>
          <w:szCs w:val="22"/>
        </w:rPr>
        <w:t xml:space="preserve"> </w:t>
      </w:r>
      <w:r w:rsidR="005A25BF">
        <w:rPr>
          <w:rFonts w:asciiTheme="minorHAnsi" w:hAnsiTheme="minorHAnsi"/>
          <w:sz w:val="22"/>
          <w:szCs w:val="22"/>
        </w:rPr>
        <w:t xml:space="preserve">One ‘’smart </w:t>
      </w:r>
      <w:r w:rsidR="005A25BF">
        <w:rPr>
          <w:rFonts w:asciiTheme="minorHAnsi" w:hAnsiTheme="minorHAnsi"/>
          <w:sz w:val="22"/>
          <w:szCs w:val="22"/>
        </w:rPr>
        <w:lastRenderedPageBreak/>
        <w:t xml:space="preserve">Yankee tourist’ met with the ire of the notorious Australian daily the </w:t>
      </w:r>
      <w:r w:rsidR="005A25BF">
        <w:rPr>
          <w:rFonts w:asciiTheme="minorHAnsi" w:hAnsiTheme="minorHAnsi"/>
          <w:i/>
          <w:iCs/>
          <w:sz w:val="22"/>
          <w:szCs w:val="22"/>
        </w:rPr>
        <w:t>Truth</w:t>
      </w:r>
      <w:r w:rsidR="005A25BF">
        <w:rPr>
          <w:rFonts w:asciiTheme="minorHAnsi" w:hAnsiTheme="minorHAnsi"/>
          <w:sz w:val="22"/>
          <w:szCs w:val="22"/>
        </w:rPr>
        <w:t xml:space="preserve"> when she appeared on one of Melbourne’s major thoroughfares parading ‘in an extra short skirt, </w:t>
      </w:r>
      <w:r w:rsidR="00394529">
        <w:rPr>
          <w:rFonts w:asciiTheme="minorHAnsi" w:hAnsiTheme="minorHAnsi"/>
          <w:sz w:val="22"/>
          <w:szCs w:val="22"/>
        </w:rPr>
        <w:t>…</w:t>
      </w:r>
      <w:r w:rsidR="005A25BF">
        <w:rPr>
          <w:rFonts w:asciiTheme="minorHAnsi" w:hAnsiTheme="minorHAnsi"/>
          <w:sz w:val="22"/>
          <w:szCs w:val="22"/>
        </w:rPr>
        <w:t xml:space="preserve"> her stockings rolled down below the knees’. This ‘bare-legged belle’ responded to criticism with a retort that in New York City ‘everyone is wearing bare knees … rouged a</w:t>
      </w:r>
      <w:r w:rsidR="00DC65D7">
        <w:rPr>
          <w:rFonts w:asciiTheme="minorHAnsi" w:hAnsiTheme="minorHAnsi"/>
          <w:sz w:val="22"/>
          <w:szCs w:val="22"/>
        </w:rPr>
        <w:t>n</w:t>
      </w:r>
      <w:r w:rsidR="005A25BF">
        <w:rPr>
          <w:rFonts w:asciiTheme="minorHAnsi" w:hAnsiTheme="minorHAnsi"/>
          <w:sz w:val="22"/>
          <w:szCs w:val="22"/>
        </w:rPr>
        <w:t>d tattooed’.</w:t>
      </w:r>
      <w:r w:rsidR="005A25BF">
        <w:rPr>
          <w:rStyle w:val="EndnoteReference"/>
          <w:rFonts w:asciiTheme="minorHAnsi" w:hAnsiTheme="minorHAnsi"/>
          <w:sz w:val="22"/>
          <w:szCs w:val="22"/>
        </w:rPr>
        <w:endnoteReference w:id="5"/>
      </w:r>
    </w:p>
    <w:p w14:paraId="7B638B02" w14:textId="77777777" w:rsidR="0041626E" w:rsidRPr="005A25BF" w:rsidRDefault="0041626E" w:rsidP="00AC656D">
      <w:pPr>
        <w:pStyle w:val="NormalWeb"/>
        <w:spacing w:before="0" w:beforeAutospacing="0" w:after="0" w:afterAutospacing="0" w:line="276" w:lineRule="auto"/>
        <w:jc w:val="both"/>
        <w:rPr>
          <w:rFonts w:asciiTheme="minorHAnsi" w:hAnsiTheme="minorHAnsi"/>
          <w:sz w:val="22"/>
          <w:szCs w:val="22"/>
        </w:rPr>
      </w:pPr>
    </w:p>
    <w:p w14:paraId="16EDB5D5" w14:textId="41D420CF" w:rsidR="0041626E" w:rsidRDefault="00394529" w:rsidP="00AC656D">
      <w:pPr>
        <w:pStyle w:val="NormalWeb"/>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Beauty contests, often aimed at attracting women as competitors with the lure of a Hollywood contract, </w:t>
      </w:r>
      <w:r w:rsidR="00E440C8">
        <w:rPr>
          <w:rFonts w:asciiTheme="minorHAnsi" w:hAnsiTheme="minorHAnsi"/>
          <w:sz w:val="22"/>
          <w:szCs w:val="22"/>
        </w:rPr>
        <w:t>became de r</w:t>
      </w:r>
      <w:r w:rsidR="0041626E">
        <w:rPr>
          <w:rFonts w:asciiTheme="minorHAnsi" w:hAnsiTheme="minorHAnsi"/>
          <w:sz w:val="22"/>
          <w:szCs w:val="22"/>
        </w:rPr>
        <w:t>i</w:t>
      </w:r>
      <w:r w:rsidR="00E440C8">
        <w:rPr>
          <w:rFonts w:asciiTheme="minorHAnsi" w:hAnsiTheme="minorHAnsi"/>
          <w:sz w:val="22"/>
          <w:szCs w:val="22"/>
        </w:rPr>
        <w:t>g</w:t>
      </w:r>
      <w:r w:rsidR="0041626E">
        <w:rPr>
          <w:rFonts w:asciiTheme="minorHAnsi" w:hAnsiTheme="minorHAnsi"/>
          <w:sz w:val="22"/>
          <w:szCs w:val="22"/>
        </w:rPr>
        <w:t>u</w:t>
      </w:r>
      <w:r w:rsidR="00E440C8">
        <w:rPr>
          <w:rFonts w:asciiTheme="minorHAnsi" w:hAnsiTheme="minorHAnsi"/>
          <w:sz w:val="22"/>
          <w:szCs w:val="22"/>
        </w:rPr>
        <w:t>eur</w:t>
      </w:r>
      <w:r w:rsidR="0041626E">
        <w:rPr>
          <w:rFonts w:asciiTheme="minorHAnsi" w:hAnsiTheme="minorHAnsi"/>
          <w:sz w:val="22"/>
          <w:szCs w:val="22"/>
        </w:rPr>
        <w:t xml:space="preserve">. Newspapers ran competitions and </w:t>
      </w:r>
      <w:proofErr w:type="gramStart"/>
      <w:r w:rsidR="0041626E">
        <w:rPr>
          <w:rFonts w:asciiTheme="minorHAnsi" w:hAnsiTheme="minorHAnsi"/>
          <w:sz w:val="22"/>
          <w:szCs w:val="22"/>
        </w:rPr>
        <w:t>photographers</w:t>
      </w:r>
      <w:proofErr w:type="gramEnd"/>
      <w:r w:rsidR="0041626E">
        <w:rPr>
          <w:rFonts w:asciiTheme="minorHAnsi" w:hAnsiTheme="minorHAnsi"/>
          <w:sz w:val="22"/>
          <w:szCs w:val="22"/>
        </w:rPr>
        <w:t xml:space="preserve"> and other professionals began to dictate </w:t>
      </w:r>
      <w:r w:rsidR="00D96FB6">
        <w:rPr>
          <w:rFonts w:asciiTheme="minorHAnsi" w:hAnsiTheme="minorHAnsi"/>
          <w:sz w:val="22"/>
          <w:szCs w:val="22"/>
        </w:rPr>
        <w:t xml:space="preserve">women’s bodily and facial </w:t>
      </w:r>
      <w:r w:rsidR="0041626E">
        <w:rPr>
          <w:rFonts w:asciiTheme="minorHAnsi" w:hAnsiTheme="minorHAnsi"/>
          <w:sz w:val="22"/>
          <w:szCs w:val="22"/>
        </w:rPr>
        <w:t xml:space="preserve">perfection. </w:t>
      </w:r>
      <w:r w:rsidR="00D96FB6">
        <w:rPr>
          <w:rFonts w:asciiTheme="minorHAnsi" w:hAnsiTheme="minorHAnsi"/>
          <w:sz w:val="22"/>
          <w:szCs w:val="22"/>
        </w:rPr>
        <w:t xml:space="preserve">This analysis </w:t>
      </w:r>
      <w:r w:rsidR="00492BED">
        <w:rPr>
          <w:rFonts w:asciiTheme="minorHAnsi" w:hAnsiTheme="minorHAnsi"/>
          <w:sz w:val="22"/>
          <w:szCs w:val="22"/>
        </w:rPr>
        <w:t>followed the pattern adopted by famed criminologist Caesare Lombroso in his search to identify the ‘perfect criminal’ by measuring every conceivable facial feature. Closely positioned eyes, low hanging forehead, large flapping ears, thin cruel lips signified criminality.</w:t>
      </w:r>
      <w:r w:rsidR="0083168B">
        <w:rPr>
          <w:rStyle w:val="EndnoteReference"/>
          <w:rFonts w:asciiTheme="minorHAnsi" w:hAnsiTheme="minorHAnsi"/>
          <w:sz w:val="22"/>
          <w:szCs w:val="22"/>
        </w:rPr>
        <w:endnoteReference w:id="6"/>
      </w:r>
      <w:r w:rsidR="00492BED">
        <w:rPr>
          <w:rFonts w:asciiTheme="minorHAnsi" w:hAnsiTheme="minorHAnsi"/>
          <w:sz w:val="22"/>
          <w:szCs w:val="22"/>
        </w:rPr>
        <w:t xml:space="preserve"> The beauty contestant analysists selected features and their relationship to each other arriving at the antithesis of the Lombrosian type. For them, t</w:t>
      </w:r>
      <w:r w:rsidR="0041626E">
        <w:rPr>
          <w:rFonts w:asciiTheme="minorHAnsi" w:hAnsiTheme="minorHAnsi"/>
          <w:sz w:val="22"/>
          <w:szCs w:val="22"/>
        </w:rPr>
        <w:t>he perfect face comprised symmetrical features with a p</w:t>
      </w:r>
      <w:r w:rsidR="00A9380C">
        <w:rPr>
          <w:rFonts w:asciiTheme="minorHAnsi" w:hAnsiTheme="minorHAnsi"/>
          <w:sz w:val="22"/>
          <w:szCs w:val="22"/>
        </w:rPr>
        <w:t xml:space="preserve">recise </w:t>
      </w:r>
      <w:r w:rsidR="0041626E">
        <w:rPr>
          <w:rFonts w:asciiTheme="minorHAnsi" w:hAnsiTheme="minorHAnsi"/>
          <w:sz w:val="22"/>
          <w:szCs w:val="22"/>
        </w:rPr>
        <w:t xml:space="preserve">distance required between the eyes, a retroussé nose rather than a Roman one, forehead </w:t>
      </w:r>
      <w:r w:rsidR="00A9380C">
        <w:rPr>
          <w:rFonts w:asciiTheme="minorHAnsi" w:hAnsiTheme="minorHAnsi"/>
          <w:sz w:val="22"/>
          <w:szCs w:val="22"/>
        </w:rPr>
        <w:t xml:space="preserve">exact in its dimensions, lips full but not too full, upper lip proportionate, chin delicately rounded. </w:t>
      </w:r>
      <w:r w:rsidR="00492BED">
        <w:rPr>
          <w:rFonts w:asciiTheme="minorHAnsi" w:hAnsiTheme="minorHAnsi"/>
          <w:sz w:val="22"/>
          <w:szCs w:val="22"/>
        </w:rPr>
        <w:t xml:space="preserve">Not only were these studies in perfection utterly different from Lombroso’s. They focused on purity in breeding. </w:t>
      </w:r>
      <w:r w:rsidR="00A9380C">
        <w:rPr>
          <w:rFonts w:asciiTheme="minorHAnsi" w:hAnsiTheme="minorHAnsi"/>
          <w:sz w:val="22"/>
          <w:szCs w:val="22"/>
        </w:rPr>
        <w:t>Notions of racial superiority, albeit not necessarily stated, crept in, ordaining what was, and was not, ‘beauty’.</w:t>
      </w:r>
      <w:r w:rsidR="00580782">
        <w:rPr>
          <w:rStyle w:val="EndnoteReference"/>
          <w:rFonts w:asciiTheme="minorHAnsi" w:hAnsiTheme="minorHAnsi"/>
          <w:sz w:val="22"/>
          <w:szCs w:val="22"/>
        </w:rPr>
        <w:endnoteReference w:id="7"/>
      </w:r>
      <w:r w:rsidR="00CF63A9">
        <w:rPr>
          <w:rFonts w:asciiTheme="minorHAnsi" w:hAnsiTheme="minorHAnsi"/>
          <w:sz w:val="22"/>
          <w:szCs w:val="22"/>
        </w:rPr>
        <w:t xml:space="preserve"> </w:t>
      </w:r>
    </w:p>
    <w:p w14:paraId="234997A8" w14:textId="594BDA4E" w:rsidR="00492BED" w:rsidRDefault="00492BED" w:rsidP="00AC656D">
      <w:pPr>
        <w:pStyle w:val="NormalWeb"/>
        <w:spacing w:before="0" w:beforeAutospacing="0" w:after="0" w:afterAutospacing="0" w:line="276" w:lineRule="auto"/>
        <w:jc w:val="both"/>
        <w:rPr>
          <w:rFonts w:asciiTheme="minorHAnsi" w:hAnsiTheme="minorHAnsi"/>
          <w:sz w:val="22"/>
          <w:szCs w:val="22"/>
        </w:rPr>
      </w:pPr>
    </w:p>
    <w:p w14:paraId="0CAA06AC" w14:textId="77777777" w:rsidR="00C80D4B" w:rsidRDefault="00492BED" w:rsidP="00AC656D">
      <w:pPr>
        <w:pStyle w:val="NormalWeb"/>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Women who did not conform to the perfect type</w:t>
      </w:r>
      <w:r w:rsidR="007A2852">
        <w:rPr>
          <w:rFonts w:asciiTheme="minorHAnsi" w:hAnsiTheme="minorHAnsi"/>
          <w:sz w:val="22"/>
          <w:szCs w:val="22"/>
        </w:rPr>
        <w:t xml:space="preserve"> sought to do so</w:t>
      </w:r>
      <w:r>
        <w:rPr>
          <w:rFonts w:asciiTheme="minorHAnsi" w:hAnsiTheme="minorHAnsi"/>
          <w:sz w:val="22"/>
          <w:szCs w:val="22"/>
        </w:rPr>
        <w:t xml:space="preserve">. Despite a backlash from </w:t>
      </w:r>
      <w:r w:rsidR="007A2852">
        <w:rPr>
          <w:rFonts w:asciiTheme="minorHAnsi" w:hAnsiTheme="minorHAnsi"/>
          <w:sz w:val="22"/>
          <w:szCs w:val="22"/>
        </w:rPr>
        <w:t>sections of the popular press, and protestations from feminists that beauty competitions ‘judged and measured’ each entrant ‘as though she were an animal’,</w:t>
      </w:r>
      <w:r w:rsidR="007A2852">
        <w:rPr>
          <w:rStyle w:val="EndnoteReference"/>
          <w:rFonts w:asciiTheme="minorHAnsi" w:hAnsiTheme="minorHAnsi"/>
          <w:sz w:val="22"/>
          <w:szCs w:val="22"/>
        </w:rPr>
        <w:endnoteReference w:id="8"/>
      </w:r>
      <w:r w:rsidR="0028702C">
        <w:rPr>
          <w:rFonts w:asciiTheme="minorHAnsi" w:hAnsiTheme="minorHAnsi"/>
          <w:sz w:val="22"/>
          <w:szCs w:val="22"/>
        </w:rPr>
        <w:t xml:space="preserve"> </w:t>
      </w:r>
      <w:r w:rsidR="007A2852">
        <w:rPr>
          <w:rFonts w:asciiTheme="minorHAnsi" w:hAnsiTheme="minorHAnsi"/>
          <w:sz w:val="22"/>
          <w:szCs w:val="22"/>
        </w:rPr>
        <w:t>s</w:t>
      </w:r>
      <w:r w:rsidR="0028702C">
        <w:rPr>
          <w:rFonts w:asciiTheme="minorHAnsi" w:hAnsiTheme="minorHAnsi"/>
          <w:sz w:val="22"/>
          <w:szCs w:val="22"/>
        </w:rPr>
        <w:t xml:space="preserve">ome women were caught up in striving for perfection. That they were obliged to seek out means of doing so did not discourage them. Being charged with vanity and self-obsession was no deterrent. </w:t>
      </w:r>
      <w:r w:rsidR="000F57EE">
        <w:rPr>
          <w:rFonts w:asciiTheme="minorHAnsi" w:hAnsiTheme="minorHAnsi"/>
          <w:sz w:val="22"/>
          <w:szCs w:val="22"/>
        </w:rPr>
        <w:t xml:space="preserve">In Australia, the </w:t>
      </w:r>
      <w:r w:rsidR="000F57EE">
        <w:rPr>
          <w:rFonts w:asciiTheme="minorHAnsi" w:hAnsiTheme="minorHAnsi"/>
          <w:i/>
          <w:iCs/>
          <w:sz w:val="22"/>
          <w:szCs w:val="22"/>
        </w:rPr>
        <w:t xml:space="preserve">Sunraysia Daily </w:t>
      </w:r>
      <w:r w:rsidR="000F57EE">
        <w:rPr>
          <w:rFonts w:asciiTheme="minorHAnsi" w:hAnsiTheme="minorHAnsi"/>
          <w:sz w:val="22"/>
          <w:szCs w:val="22"/>
        </w:rPr>
        <w:t>condemned ‘vain women’ who</w:t>
      </w:r>
      <w:r w:rsidR="00091366">
        <w:rPr>
          <w:rFonts w:asciiTheme="minorHAnsi" w:hAnsiTheme="minorHAnsi"/>
          <w:sz w:val="22"/>
          <w:szCs w:val="22"/>
        </w:rPr>
        <w:t xml:space="preserve"> appeared ‘to be watching themselves while they speak, listening to themselves, visualising themselves’. Being ‘greedy for admiration they … [were] too engrossed in themselves’, so that even ageing did not stand in the way of self-admiration. Their vanity would ‘not allow’ the ageing woman ‘to admit that her day is over’.</w:t>
      </w:r>
      <w:r w:rsidR="004953BC">
        <w:rPr>
          <w:rStyle w:val="EndnoteReference"/>
          <w:rFonts w:asciiTheme="minorHAnsi" w:hAnsiTheme="minorHAnsi"/>
          <w:sz w:val="22"/>
          <w:szCs w:val="22"/>
        </w:rPr>
        <w:endnoteReference w:id="9"/>
      </w:r>
      <w:r w:rsidR="004953BC">
        <w:rPr>
          <w:rFonts w:asciiTheme="minorHAnsi" w:hAnsiTheme="minorHAnsi"/>
          <w:sz w:val="22"/>
          <w:szCs w:val="22"/>
        </w:rPr>
        <w:t xml:space="preserve"> </w:t>
      </w:r>
      <w:r w:rsidR="00091366">
        <w:rPr>
          <w:rFonts w:asciiTheme="minorHAnsi" w:hAnsiTheme="minorHAnsi"/>
          <w:sz w:val="22"/>
          <w:szCs w:val="22"/>
        </w:rPr>
        <w:t xml:space="preserve"> </w:t>
      </w:r>
      <w:r w:rsidR="004953BC">
        <w:rPr>
          <w:rFonts w:asciiTheme="minorHAnsi" w:hAnsiTheme="minorHAnsi"/>
          <w:sz w:val="22"/>
          <w:szCs w:val="22"/>
        </w:rPr>
        <w:t xml:space="preserve">Increasingly artificial means came to create or enhance beauty, and age did not admit of defeat. Clinging to youth or its </w:t>
      </w:r>
      <w:r w:rsidR="00091366">
        <w:rPr>
          <w:rFonts w:asciiTheme="minorHAnsi" w:hAnsiTheme="minorHAnsi"/>
          <w:sz w:val="22"/>
          <w:szCs w:val="22"/>
        </w:rPr>
        <w:t>pretence was reinforced by the growing self-help industry of dyes and pot</w:t>
      </w:r>
      <w:r w:rsidR="004953BC">
        <w:rPr>
          <w:rFonts w:asciiTheme="minorHAnsi" w:hAnsiTheme="minorHAnsi"/>
          <w:sz w:val="22"/>
          <w:szCs w:val="22"/>
        </w:rPr>
        <w:t xml:space="preserve">ions that could be administered at home, and the increased commercialisation of the beauty industry. </w:t>
      </w:r>
      <w:r w:rsidR="00EC28C0">
        <w:rPr>
          <w:rFonts w:asciiTheme="minorHAnsi" w:hAnsiTheme="minorHAnsi"/>
          <w:sz w:val="22"/>
          <w:szCs w:val="22"/>
        </w:rPr>
        <w:t xml:space="preserve">To quell the belief that women were self-obsessed narcissists, bodily perfection as a health-goal </w:t>
      </w:r>
      <w:r w:rsidR="00F432E8">
        <w:rPr>
          <w:rFonts w:asciiTheme="minorHAnsi" w:hAnsiTheme="minorHAnsi"/>
          <w:sz w:val="22"/>
          <w:szCs w:val="22"/>
        </w:rPr>
        <w:t>be</w:t>
      </w:r>
      <w:r w:rsidR="00EC28C0">
        <w:rPr>
          <w:rFonts w:asciiTheme="minorHAnsi" w:hAnsiTheme="minorHAnsi"/>
          <w:sz w:val="22"/>
          <w:szCs w:val="22"/>
        </w:rPr>
        <w:t xml:space="preserve">came </w:t>
      </w:r>
      <w:r w:rsidR="00F432E8">
        <w:rPr>
          <w:rFonts w:asciiTheme="minorHAnsi" w:hAnsiTheme="minorHAnsi"/>
          <w:sz w:val="22"/>
          <w:szCs w:val="22"/>
        </w:rPr>
        <w:t>fashionable</w:t>
      </w:r>
      <w:r w:rsidR="00EC28C0">
        <w:rPr>
          <w:rFonts w:asciiTheme="minorHAnsi" w:hAnsiTheme="minorHAnsi"/>
          <w:sz w:val="22"/>
          <w:szCs w:val="22"/>
        </w:rPr>
        <w:t xml:space="preserve">. Products advertised originally as magical </w:t>
      </w:r>
      <w:r w:rsidR="004B2FC7">
        <w:rPr>
          <w:rFonts w:asciiTheme="minorHAnsi" w:hAnsiTheme="minorHAnsi"/>
          <w:sz w:val="22"/>
          <w:szCs w:val="22"/>
        </w:rPr>
        <w:t xml:space="preserve">or glamourous </w:t>
      </w:r>
      <w:r w:rsidR="00EC28C0">
        <w:rPr>
          <w:rFonts w:asciiTheme="minorHAnsi" w:hAnsiTheme="minorHAnsi"/>
          <w:sz w:val="22"/>
          <w:szCs w:val="22"/>
        </w:rPr>
        <w:t xml:space="preserve">were converted into </w:t>
      </w:r>
      <w:r w:rsidR="007A51F7">
        <w:rPr>
          <w:rFonts w:asciiTheme="minorHAnsi" w:hAnsiTheme="minorHAnsi"/>
          <w:sz w:val="22"/>
          <w:szCs w:val="22"/>
        </w:rPr>
        <w:t>natural adjuncts to healthy living.</w:t>
      </w:r>
      <w:r w:rsidR="007A51F7">
        <w:rPr>
          <w:rStyle w:val="EndnoteReference"/>
          <w:rFonts w:asciiTheme="minorHAnsi" w:hAnsiTheme="minorHAnsi"/>
          <w:sz w:val="22"/>
          <w:szCs w:val="22"/>
        </w:rPr>
        <w:endnoteReference w:id="10"/>
      </w:r>
      <w:r w:rsidR="00EC28C0">
        <w:rPr>
          <w:rFonts w:asciiTheme="minorHAnsi" w:hAnsiTheme="minorHAnsi"/>
          <w:sz w:val="22"/>
          <w:szCs w:val="22"/>
        </w:rPr>
        <w:t xml:space="preserve"> </w:t>
      </w:r>
      <w:r w:rsidR="00F432E8">
        <w:rPr>
          <w:rFonts w:asciiTheme="minorHAnsi" w:hAnsiTheme="minorHAnsi"/>
          <w:sz w:val="22"/>
          <w:szCs w:val="22"/>
        </w:rPr>
        <w:t xml:space="preserve">Yet ‘how do I look’ continued as one of the </w:t>
      </w:r>
      <w:proofErr w:type="gramStart"/>
      <w:r w:rsidR="00F432E8">
        <w:rPr>
          <w:rFonts w:asciiTheme="minorHAnsi" w:hAnsiTheme="minorHAnsi"/>
          <w:sz w:val="22"/>
          <w:szCs w:val="22"/>
        </w:rPr>
        <w:t>most commonly asked</w:t>
      </w:r>
      <w:proofErr w:type="gramEnd"/>
      <w:r w:rsidR="00F432E8">
        <w:rPr>
          <w:rFonts w:asciiTheme="minorHAnsi" w:hAnsiTheme="minorHAnsi"/>
          <w:sz w:val="22"/>
          <w:szCs w:val="22"/>
        </w:rPr>
        <w:t xml:space="preserve"> questions whether by a woman of her best friend, husband or partner, or (in the tradition of fairy tales) her mirror. </w:t>
      </w:r>
      <w:r w:rsidR="004B2FC7">
        <w:rPr>
          <w:rFonts w:asciiTheme="minorHAnsi" w:hAnsiTheme="minorHAnsi"/>
          <w:sz w:val="22"/>
          <w:szCs w:val="22"/>
        </w:rPr>
        <w:t>Women’s bodies and women’s beauty took centre</w:t>
      </w:r>
      <w:r w:rsidR="00B43513">
        <w:rPr>
          <w:rFonts w:asciiTheme="minorHAnsi" w:hAnsiTheme="minorHAnsi"/>
          <w:sz w:val="22"/>
          <w:szCs w:val="22"/>
        </w:rPr>
        <w:t xml:space="preserve"> </w:t>
      </w:r>
      <w:r w:rsidR="004B2FC7">
        <w:rPr>
          <w:rFonts w:asciiTheme="minorHAnsi" w:hAnsiTheme="minorHAnsi"/>
          <w:sz w:val="22"/>
          <w:szCs w:val="22"/>
        </w:rPr>
        <w:t>stage.</w:t>
      </w:r>
      <w:r w:rsidR="002C0D91">
        <w:rPr>
          <w:rFonts w:asciiTheme="minorHAnsi" w:hAnsiTheme="minorHAnsi"/>
          <w:sz w:val="22"/>
          <w:szCs w:val="22"/>
        </w:rPr>
        <w:t xml:space="preserve"> </w:t>
      </w:r>
    </w:p>
    <w:p w14:paraId="230AF7A4" w14:textId="77777777" w:rsidR="00C80D4B" w:rsidRDefault="00C80D4B" w:rsidP="00AC656D">
      <w:pPr>
        <w:pStyle w:val="NormalWeb"/>
        <w:spacing w:before="0" w:beforeAutospacing="0" w:after="0" w:afterAutospacing="0" w:line="276" w:lineRule="auto"/>
        <w:jc w:val="both"/>
        <w:rPr>
          <w:rFonts w:asciiTheme="minorHAnsi" w:hAnsiTheme="minorHAnsi"/>
          <w:sz w:val="22"/>
          <w:szCs w:val="22"/>
        </w:rPr>
      </w:pPr>
    </w:p>
    <w:p w14:paraId="4E02BDBF" w14:textId="1B11AE14" w:rsidR="00492BED" w:rsidRDefault="002C0D91" w:rsidP="00AC656D">
      <w:pPr>
        <w:pStyle w:val="NormalWeb"/>
        <w:spacing w:before="0" w:beforeAutospacing="0" w:after="0" w:afterAutospacing="0" w:line="276" w:lineRule="auto"/>
        <w:jc w:val="both"/>
        <w:rPr>
          <w:rFonts w:asciiTheme="minorHAnsi" w:hAnsiTheme="minorHAnsi"/>
          <w:sz w:val="22"/>
          <w:szCs w:val="22"/>
        </w:rPr>
      </w:pPr>
      <w:r>
        <w:rPr>
          <w:rFonts w:asciiTheme="minorHAnsi" w:hAnsiTheme="minorHAnsi"/>
          <w:sz w:val="22"/>
          <w:szCs w:val="22"/>
        </w:rPr>
        <w:t xml:space="preserve">The </w:t>
      </w:r>
      <w:r w:rsidR="00C80D4B">
        <w:rPr>
          <w:rFonts w:asciiTheme="minorHAnsi" w:hAnsiTheme="minorHAnsi"/>
          <w:sz w:val="22"/>
          <w:szCs w:val="22"/>
        </w:rPr>
        <w:t>pre-eminence</w:t>
      </w:r>
      <w:r>
        <w:rPr>
          <w:rFonts w:asciiTheme="minorHAnsi" w:hAnsiTheme="minorHAnsi"/>
          <w:sz w:val="22"/>
          <w:szCs w:val="22"/>
        </w:rPr>
        <w:t xml:space="preserve"> of one shape over another may prevail, </w:t>
      </w:r>
      <w:r w:rsidR="00C80D4B">
        <w:rPr>
          <w:rFonts w:asciiTheme="minorHAnsi" w:hAnsiTheme="minorHAnsi"/>
          <w:sz w:val="22"/>
          <w:szCs w:val="22"/>
        </w:rPr>
        <w:t>but the message remains. T</w:t>
      </w:r>
      <w:r>
        <w:rPr>
          <w:rFonts w:asciiTheme="minorHAnsi" w:hAnsiTheme="minorHAnsi"/>
          <w:sz w:val="22"/>
          <w:szCs w:val="22"/>
        </w:rPr>
        <w:t xml:space="preserve">he 1920s </w:t>
      </w:r>
      <w:proofErr w:type="spellStart"/>
      <w:r>
        <w:rPr>
          <w:rFonts w:asciiTheme="minorHAnsi" w:hAnsiTheme="minorHAnsi"/>
          <w:sz w:val="22"/>
          <w:szCs w:val="22"/>
        </w:rPr>
        <w:t>bosomless</w:t>
      </w:r>
      <w:proofErr w:type="spellEnd"/>
      <w:r>
        <w:rPr>
          <w:rFonts w:asciiTheme="minorHAnsi" w:hAnsiTheme="minorHAnsi"/>
          <w:sz w:val="22"/>
          <w:szCs w:val="22"/>
        </w:rPr>
        <w:t xml:space="preserve"> look </w:t>
      </w:r>
      <w:r w:rsidR="00C80D4B">
        <w:rPr>
          <w:rFonts w:asciiTheme="minorHAnsi" w:hAnsiTheme="minorHAnsi"/>
          <w:sz w:val="22"/>
          <w:szCs w:val="22"/>
        </w:rPr>
        <w:t xml:space="preserve">is </w:t>
      </w:r>
      <w:r>
        <w:rPr>
          <w:rFonts w:asciiTheme="minorHAnsi" w:hAnsiTheme="minorHAnsi"/>
          <w:sz w:val="22"/>
          <w:szCs w:val="22"/>
        </w:rPr>
        <w:t xml:space="preserve">replaced by the Marilyn Monroe </w:t>
      </w:r>
      <w:r w:rsidR="00C80D4B">
        <w:rPr>
          <w:rFonts w:asciiTheme="minorHAnsi" w:hAnsiTheme="minorHAnsi"/>
          <w:sz w:val="22"/>
          <w:szCs w:val="22"/>
        </w:rPr>
        <w:t xml:space="preserve">breasted </w:t>
      </w:r>
      <w:r>
        <w:rPr>
          <w:rFonts w:asciiTheme="minorHAnsi" w:hAnsiTheme="minorHAnsi"/>
          <w:sz w:val="22"/>
          <w:szCs w:val="22"/>
        </w:rPr>
        <w:t xml:space="preserve">hourglass, thence to the slender </w:t>
      </w:r>
      <w:r w:rsidR="00C80D4B">
        <w:rPr>
          <w:rFonts w:asciiTheme="minorHAnsi" w:hAnsiTheme="minorHAnsi"/>
          <w:sz w:val="22"/>
          <w:szCs w:val="22"/>
        </w:rPr>
        <w:t>limbed</w:t>
      </w:r>
      <w:r>
        <w:rPr>
          <w:rFonts w:asciiTheme="minorHAnsi" w:hAnsiTheme="minorHAnsi"/>
          <w:sz w:val="22"/>
          <w:szCs w:val="22"/>
        </w:rPr>
        <w:t xml:space="preserve"> Twiggy of the 1970s, and into the 1980s w</w:t>
      </w:r>
      <w:r w:rsidR="00C80D4B">
        <w:rPr>
          <w:rFonts w:asciiTheme="minorHAnsi" w:hAnsiTheme="minorHAnsi"/>
          <w:sz w:val="22"/>
          <w:szCs w:val="22"/>
        </w:rPr>
        <w:t>here</w:t>
      </w:r>
      <w:r>
        <w:rPr>
          <w:rFonts w:asciiTheme="minorHAnsi" w:hAnsiTheme="minorHAnsi"/>
          <w:sz w:val="22"/>
          <w:szCs w:val="22"/>
        </w:rPr>
        <w:t xml:space="preserve"> pronounced breasts compet</w:t>
      </w:r>
      <w:r w:rsidR="00C80D4B">
        <w:rPr>
          <w:rFonts w:asciiTheme="minorHAnsi" w:hAnsiTheme="minorHAnsi"/>
          <w:sz w:val="22"/>
          <w:szCs w:val="22"/>
        </w:rPr>
        <w:t>e</w:t>
      </w:r>
      <w:r>
        <w:rPr>
          <w:rFonts w:asciiTheme="minorHAnsi" w:hAnsiTheme="minorHAnsi"/>
          <w:sz w:val="22"/>
          <w:szCs w:val="22"/>
        </w:rPr>
        <w:t xml:space="preserve"> with the bulging bottoms of the 2000s, </w:t>
      </w:r>
      <w:r w:rsidR="00C80D4B">
        <w:rPr>
          <w:rFonts w:asciiTheme="minorHAnsi" w:hAnsiTheme="minorHAnsi"/>
          <w:sz w:val="22"/>
          <w:szCs w:val="22"/>
        </w:rPr>
        <w:t xml:space="preserve">and </w:t>
      </w:r>
      <w:r>
        <w:rPr>
          <w:rFonts w:asciiTheme="minorHAnsi" w:hAnsiTheme="minorHAnsi"/>
          <w:sz w:val="22"/>
          <w:szCs w:val="22"/>
        </w:rPr>
        <w:t xml:space="preserve">budding lips expand exponentially into full blown </w:t>
      </w:r>
      <w:r w:rsidR="00C80D4B">
        <w:rPr>
          <w:rFonts w:asciiTheme="minorHAnsi" w:hAnsiTheme="minorHAnsi"/>
          <w:sz w:val="22"/>
          <w:szCs w:val="22"/>
        </w:rPr>
        <w:t>swellings – yet bodies and beauty remain determinative of what is a woman</w:t>
      </w:r>
      <w:r>
        <w:rPr>
          <w:rFonts w:asciiTheme="minorHAnsi" w:hAnsiTheme="minorHAnsi"/>
          <w:sz w:val="22"/>
          <w:szCs w:val="22"/>
        </w:rPr>
        <w:t>.</w:t>
      </w:r>
    </w:p>
    <w:p w14:paraId="7472863A" w14:textId="77777777" w:rsidR="00394529" w:rsidRDefault="00394529" w:rsidP="00AC656D">
      <w:pPr>
        <w:pStyle w:val="NormalWeb"/>
        <w:spacing w:before="0" w:beforeAutospacing="0" w:after="0" w:afterAutospacing="0" w:line="276" w:lineRule="auto"/>
        <w:jc w:val="both"/>
        <w:rPr>
          <w:rFonts w:asciiTheme="minorHAnsi" w:hAnsiTheme="minorHAnsi"/>
          <w:sz w:val="22"/>
          <w:szCs w:val="22"/>
        </w:rPr>
      </w:pPr>
    </w:p>
    <w:p w14:paraId="51E07C4B" w14:textId="0B450827" w:rsidR="00E62729" w:rsidRPr="00DE0C45" w:rsidRDefault="00157725" w:rsidP="00AC656D">
      <w:pPr>
        <w:pStyle w:val="NormalWeb"/>
        <w:spacing w:before="0" w:beforeAutospacing="0" w:after="0" w:afterAutospacing="0" w:line="276" w:lineRule="auto"/>
        <w:jc w:val="both"/>
        <w:rPr>
          <w:rFonts w:asciiTheme="minorHAnsi" w:hAnsiTheme="minorHAnsi"/>
          <w:sz w:val="22"/>
          <w:szCs w:val="22"/>
        </w:rPr>
      </w:pPr>
      <w:proofErr w:type="gramStart"/>
      <w:r>
        <w:rPr>
          <w:rFonts w:asciiTheme="minorHAnsi" w:hAnsiTheme="minorHAnsi"/>
          <w:sz w:val="22"/>
          <w:szCs w:val="22"/>
        </w:rPr>
        <w:t>I</w:t>
      </w:r>
      <w:r w:rsidR="00102052">
        <w:rPr>
          <w:rFonts w:asciiTheme="minorHAnsi" w:hAnsiTheme="minorHAnsi"/>
          <w:sz w:val="22"/>
          <w:szCs w:val="22"/>
        </w:rPr>
        <w:t>n light of</w:t>
      </w:r>
      <w:proofErr w:type="gramEnd"/>
      <w:r w:rsidR="00102052">
        <w:rPr>
          <w:rFonts w:asciiTheme="minorHAnsi" w:hAnsiTheme="minorHAnsi"/>
          <w:sz w:val="22"/>
          <w:szCs w:val="22"/>
        </w:rPr>
        <w:t xml:space="preserve"> this,</w:t>
      </w:r>
      <w:r w:rsidR="00495862">
        <w:rPr>
          <w:rFonts w:asciiTheme="minorHAnsi" w:hAnsiTheme="minorHAnsi"/>
          <w:sz w:val="22"/>
          <w:szCs w:val="22"/>
        </w:rPr>
        <w:t xml:space="preserve"> </w:t>
      </w:r>
      <w:r w:rsidR="00B43513">
        <w:rPr>
          <w:rFonts w:asciiTheme="minorHAnsi" w:hAnsiTheme="minorHAnsi"/>
          <w:sz w:val="22"/>
          <w:szCs w:val="22"/>
        </w:rPr>
        <w:t xml:space="preserve">what of </w:t>
      </w:r>
      <w:r w:rsidR="00495862">
        <w:rPr>
          <w:rFonts w:asciiTheme="minorHAnsi" w:hAnsiTheme="minorHAnsi"/>
          <w:sz w:val="22"/>
          <w:szCs w:val="22"/>
        </w:rPr>
        <w:t>demands from the 1970s and earlier</w:t>
      </w:r>
      <w:r w:rsidR="002D56FC">
        <w:rPr>
          <w:rFonts w:asciiTheme="minorHAnsi" w:hAnsiTheme="minorHAnsi"/>
          <w:sz w:val="22"/>
          <w:szCs w:val="22"/>
        </w:rPr>
        <w:t xml:space="preserve"> struggles for entry to university, the professions and trades</w:t>
      </w:r>
      <w:r w:rsidR="00B43513">
        <w:rPr>
          <w:rFonts w:asciiTheme="minorHAnsi" w:hAnsiTheme="minorHAnsi"/>
          <w:sz w:val="22"/>
          <w:szCs w:val="22"/>
        </w:rPr>
        <w:t xml:space="preserve">? Do these calls for </w:t>
      </w:r>
      <w:r w:rsidR="00495862">
        <w:rPr>
          <w:rFonts w:asciiTheme="minorHAnsi" w:hAnsiTheme="minorHAnsi"/>
          <w:sz w:val="22"/>
          <w:szCs w:val="22"/>
        </w:rPr>
        <w:t xml:space="preserve">women </w:t>
      </w:r>
      <w:r w:rsidR="00B43513">
        <w:rPr>
          <w:rFonts w:asciiTheme="minorHAnsi" w:hAnsiTheme="minorHAnsi"/>
          <w:sz w:val="22"/>
          <w:szCs w:val="22"/>
        </w:rPr>
        <w:t xml:space="preserve">to </w:t>
      </w:r>
      <w:r w:rsidR="00495862">
        <w:rPr>
          <w:rFonts w:asciiTheme="minorHAnsi" w:hAnsiTheme="minorHAnsi"/>
          <w:sz w:val="22"/>
          <w:szCs w:val="22"/>
        </w:rPr>
        <w:t xml:space="preserve">be recognised as more than mannequins or ornaments for a man’s arm, </w:t>
      </w:r>
      <w:r>
        <w:rPr>
          <w:rFonts w:asciiTheme="minorHAnsi" w:hAnsiTheme="minorHAnsi"/>
          <w:sz w:val="22"/>
          <w:szCs w:val="22"/>
        </w:rPr>
        <w:t xml:space="preserve">dressed up dolls with little but marriage on their minds, </w:t>
      </w:r>
      <w:r w:rsidR="00495862">
        <w:rPr>
          <w:rFonts w:asciiTheme="minorHAnsi" w:hAnsiTheme="minorHAnsi"/>
          <w:sz w:val="22"/>
          <w:szCs w:val="22"/>
        </w:rPr>
        <w:t>slaves to the kitchen or to mind-numbing work in a</w:t>
      </w:r>
      <w:r w:rsidR="00102052">
        <w:rPr>
          <w:rFonts w:asciiTheme="minorHAnsi" w:hAnsiTheme="minorHAnsi"/>
          <w:sz w:val="22"/>
          <w:szCs w:val="22"/>
        </w:rPr>
        <w:t>n</w:t>
      </w:r>
      <w:r w:rsidR="00495862">
        <w:rPr>
          <w:rFonts w:asciiTheme="minorHAnsi" w:hAnsiTheme="minorHAnsi"/>
          <w:sz w:val="22"/>
          <w:szCs w:val="22"/>
        </w:rPr>
        <w:t xml:space="preserve"> </w:t>
      </w:r>
      <w:r w:rsidR="00EF64D1">
        <w:rPr>
          <w:rFonts w:asciiTheme="minorHAnsi" w:hAnsiTheme="minorHAnsi"/>
          <w:sz w:val="22"/>
          <w:szCs w:val="22"/>
        </w:rPr>
        <w:t xml:space="preserve">office, a </w:t>
      </w:r>
      <w:r w:rsidR="00495862">
        <w:rPr>
          <w:rFonts w:asciiTheme="minorHAnsi" w:hAnsiTheme="minorHAnsi"/>
          <w:sz w:val="22"/>
          <w:szCs w:val="22"/>
        </w:rPr>
        <w:t xml:space="preserve">factory </w:t>
      </w:r>
      <w:r w:rsidR="00140910">
        <w:rPr>
          <w:rFonts w:asciiTheme="minorHAnsi" w:hAnsiTheme="minorHAnsi"/>
          <w:sz w:val="22"/>
          <w:szCs w:val="22"/>
        </w:rPr>
        <w:t xml:space="preserve">or field </w:t>
      </w:r>
      <w:r w:rsidR="00495862">
        <w:rPr>
          <w:rFonts w:asciiTheme="minorHAnsi" w:hAnsiTheme="minorHAnsi"/>
          <w:sz w:val="22"/>
          <w:szCs w:val="22"/>
        </w:rPr>
        <w:t>have meaning</w:t>
      </w:r>
      <w:r w:rsidR="00EF64D1">
        <w:rPr>
          <w:rFonts w:asciiTheme="minorHAnsi" w:hAnsiTheme="minorHAnsi"/>
          <w:sz w:val="22"/>
          <w:szCs w:val="22"/>
        </w:rPr>
        <w:t>?</w:t>
      </w:r>
      <w:r w:rsidR="00495862">
        <w:rPr>
          <w:rFonts w:asciiTheme="minorHAnsi" w:hAnsiTheme="minorHAnsi"/>
          <w:sz w:val="22"/>
          <w:szCs w:val="22"/>
        </w:rPr>
        <w:t xml:space="preserve"> Have we ‘come a long </w:t>
      </w:r>
      <w:r w:rsidR="00495862">
        <w:rPr>
          <w:rFonts w:asciiTheme="minorHAnsi" w:hAnsiTheme="minorHAnsi"/>
          <w:sz w:val="22"/>
          <w:szCs w:val="22"/>
        </w:rPr>
        <w:lastRenderedPageBreak/>
        <w:t>way, baby’, or are women inexorably enmeshed in a culture that sees artifice as more acceptable than the reality of women’s physiognomy?</w:t>
      </w:r>
      <w:r w:rsidR="00C50397">
        <w:rPr>
          <w:rFonts w:asciiTheme="minorHAnsi" w:hAnsiTheme="minorHAnsi"/>
          <w:sz w:val="22"/>
          <w:szCs w:val="22"/>
        </w:rPr>
        <w:t xml:space="preserve"> </w:t>
      </w:r>
      <w:r w:rsidR="00DE0C45">
        <w:rPr>
          <w:rFonts w:asciiTheme="minorHAnsi" w:hAnsiTheme="minorHAnsi"/>
          <w:sz w:val="22"/>
          <w:szCs w:val="22"/>
        </w:rPr>
        <w:t xml:space="preserve">Are women’s </w:t>
      </w:r>
      <w:r w:rsidR="00DE0C45">
        <w:rPr>
          <w:rFonts w:asciiTheme="minorHAnsi" w:hAnsiTheme="minorHAnsi"/>
          <w:i/>
          <w:iCs/>
          <w:sz w:val="22"/>
          <w:szCs w:val="22"/>
        </w:rPr>
        <w:t>real</w:t>
      </w:r>
      <w:r w:rsidR="00DE0C45">
        <w:rPr>
          <w:rFonts w:asciiTheme="minorHAnsi" w:hAnsiTheme="minorHAnsi"/>
          <w:sz w:val="22"/>
          <w:szCs w:val="22"/>
        </w:rPr>
        <w:t xml:space="preserve"> bodies ‘out’, whilst contrivances projected as ‘real’ women constitute the perfection and beauty for which (once) real women must aim? </w:t>
      </w:r>
    </w:p>
    <w:p w14:paraId="2C0D35F8" w14:textId="77777777" w:rsidR="00E62729" w:rsidRPr="00D404BC" w:rsidRDefault="00E62729" w:rsidP="00E62729">
      <w:pPr>
        <w:pStyle w:val="NormalWeb"/>
        <w:spacing w:before="0" w:beforeAutospacing="0" w:after="0" w:afterAutospacing="0"/>
        <w:jc w:val="both"/>
        <w:rPr>
          <w:rFonts w:asciiTheme="minorHAnsi" w:hAnsiTheme="minorHAnsi"/>
          <w:sz w:val="22"/>
          <w:szCs w:val="22"/>
        </w:rPr>
      </w:pPr>
    </w:p>
    <w:p w14:paraId="001B6F4F" w14:textId="2F683197" w:rsidR="0030617D" w:rsidRDefault="00B435FD" w:rsidP="001103C8">
      <w:pPr>
        <w:spacing w:line="276" w:lineRule="auto"/>
        <w:jc w:val="both"/>
      </w:pPr>
      <w:r>
        <w:t>I</w:t>
      </w:r>
      <w:r w:rsidR="00321222">
        <w:t xml:space="preserve">n </w:t>
      </w:r>
      <w:r w:rsidR="00321222" w:rsidRPr="00321222">
        <w:rPr>
          <w:i/>
          <w:iCs/>
        </w:rPr>
        <w:t>Bodies</w:t>
      </w:r>
      <w:r w:rsidR="00321222">
        <w:t xml:space="preserve">, first published in 2009, Susie Orbach observes that over the thirty years </w:t>
      </w:r>
      <w:r>
        <w:t>prior to her writing, ‘an obsessive cultural focus on the body’ has developed.</w:t>
      </w:r>
      <w:r>
        <w:rPr>
          <w:rStyle w:val="EndnoteReference"/>
        </w:rPr>
        <w:endnoteReference w:id="11"/>
      </w:r>
      <w:r>
        <w:t xml:space="preserve"> Everywhere, she writes, ‘we see evidence of the search for a body’. Whether it is </w:t>
      </w:r>
      <w:r w:rsidR="00157725">
        <w:t>presented as ‘</w:t>
      </w:r>
      <w:r>
        <w:t xml:space="preserve">preoccupation, health concern or moral endeavour, almost everyone has a rhetoric about trying to do right by their body’. This </w:t>
      </w:r>
      <w:r w:rsidR="00EF64D1">
        <w:t xml:space="preserve">enforces and reinforces the notion that </w:t>
      </w:r>
      <w:r>
        <w:t xml:space="preserve">the body </w:t>
      </w:r>
      <w:r w:rsidR="00235A0C">
        <w:t xml:space="preserve">unacceptable as it is. It is </w:t>
      </w:r>
      <w:r w:rsidR="00EF64D1">
        <w:t>‘</w:t>
      </w:r>
      <w:r>
        <w:t xml:space="preserve">not at all right’. </w:t>
      </w:r>
      <w:r w:rsidR="00864B1B">
        <w:t>Orbach concludes that t</w:t>
      </w:r>
      <w:r>
        <w:t>he body is now a focus for ‘our malaise, aspiration and energy’.</w:t>
      </w:r>
      <w:r w:rsidR="00140910">
        <w:rPr>
          <w:rStyle w:val="EndnoteReference"/>
        </w:rPr>
        <w:endnoteReference w:id="12"/>
      </w:r>
      <w:r>
        <w:t xml:space="preserve"> </w:t>
      </w:r>
      <w:r w:rsidR="00C712B9">
        <w:t xml:space="preserve">In this, </w:t>
      </w:r>
      <w:r w:rsidR="00864B1B">
        <w:t xml:space="preserve">she is </w:t>
      </w:r>
      <w:r w:rsidR="00C712B9">
        <w:t>both right and wrong</w:t>
      </w:r>
      <w:r w:rsidR="0027210A">
        <w:t>. In 1970 Germaine Greer</w:t>
      </w:r>
      <w:r w:rsidR="00411AD2">
        <w:t xml:space="preserve">’s </w:t>
      </w:r>
      <w:r w:rsidR="00411AD2">
        <w:rPr>
          <w:i/>
          <w:iCs/>
        </w:rPr>
        <w:t>Female Eunuch</w:t>
      </w:r>
      <w:r w:rsidR="0027210A">
        <w:t xml:space="preserve"> acknowledged the problem existing</w:t>
      </w:r>
      <w:r w:rsidR="00E028B1">
        <w:t xml:space="preserve"> then</w:t>
      </w:r>
      <w:r w:rsidR="0027210A">
        <w:t>, as it had for centuries, of women’s bodies ‘being treated as aesthetic objects without form’.</w:t>
      </w:r>
      <w:r w:rsidR="009276FB">
        <w:rPr>
          <w:rStyle w:val="EndnoteReference"/>
        </w:rPr>
        <w:endnoteReference w:id="13"/>
      </w:r>
      <w:r w:rsidR="0027210A">
        <w:t xml:space="preserve"> This was so for women themselves</w:t>
      </w:r>
      <w:r w:rsidR="00E028B1">
        <w:t>, in regarding their own bodies,</w:t>
      </w:r>
      <w:r w:rsidR="0027210A">
        <w:t xml:space="preserve"> as well as for the men in whose gaze they registered their existence.</w:t>
      </w:r>
      <w:r w:rsidR="0027210A">
        <w:rPr>
          <w:rStyle w:val="EndnoteReference"/>
        </w:rPr>
        <w:endnoteReference w:id="14"/>
      </w:r>
      <w:r w:rsidR="009276FB">
        <w:t xml:space="preserve"> </w:t>
      </w:r>
      <w:r w:rsidR="0027210A">
        <w:t>In so doing, said</w:t>
      </w:r>
      <w:r w:rsidR="00E028B1">
        <w:t xml:space="preserve"> Greer</w:t>
      </w:r>
      <w:r w:rsidR="0027210A">
        <w:t>, both the bodies and the whole woman are deformed. The various usages</w:t>
      </w:r>
      <w:r w:rsidR="001761CE">
        <w:t xml:space="preserve"> of women’s bodies</w:t>
      </w:r>
      <w:r w:rsidR="0027210A">
        <w:t xml:space="preserve">, whatever their shape or </w:t>
      </w:r>
      <w:r w:rsidR="00490B7C">
        <w:t>character</w:t>
      </w:r>
      <w:r w:rsidR="0027210A">
        <w:t>, ‘are deformations of the dynamic, individual body and limitations of the possibilities of being female’.</w:t>
      </w:r>
      <w:r w:rsidR="0027210A">
        <w:rPr>
          <w:rStyle w:val="EndnoteReference"/>
        </w:rPr>
        <w:endnoteReference w:id="15"/>
      </w:r>
      <w:r w:rsidR="0027210A">
        <w:t xml:space="preserve"> </w:t>
      </w:r>
      <w:r w:rsidR="009276FB">
        <w:t xml:space="preserve">However, </w:t>
      </w:r>
      <w:r w:rsidR="00E028B1">
        <w:t>the key truth of</w:t>
      </w:r>
      <w:r w:rsidR="009276FB">
        <w:t xml:space="preserve"> </w:t>
      </w:r>
      <w:r w:rsidR="00E028B1">
        <w:rPr>
          <w:i/>
          <w:iCs/>
        </w:rPr>
        <w:t xml:space="preserve">Bodies </w:t>
      </w:r>
      <w:r w:rsidR="00E028B1">
        <w:t xml:space="preserve">is Orbach’s </w:t>
      </w:r>
      <w:r w:rsidR="00431859">
        <w:t xml:space="preserve">recognition of the </w:t>
      </w:r>
      <w:r w:rsidR="009276FB">
        <w:t xml:space="preserve">crushing </w:t>
      </w:r>
      <w:r w:rsidR="00C712B9">
        <w:t xml:space="preserve">obsessional </w:t>
      </w:r>
      <w:r w:rsidR="00E028B1">
        <w:t xml:space="preserve">nature of </w:t>
      </w:r>
      <w:r w:rsidR="00EF64D1">
        <w:t>to</w:t>
      </w:r>
      <w:r w:rsidR="00E028B1">
        <w:t xml:space="preserve">day’s focus on the body. </w:t>
      </w:r>
      <w:r w:rsidR="00864B1B">
        <w:t>Young women, old and older women, indeed women of any age and often not even into puberty do not only know that their bodies are defective. They learn constantly through social and mainstream media, advertisements, film, television series, the ubiquitous red carpet of Hollywood and Cannes that anything, any body part can be fixed.</w:t>
      </w:r>
    </w:p>
    <w:p w14:paraId="3BD974AB" w14:textId="743F7E1B" w:rsidR="00C712B9" w:rsidRPr="0016633E" w:rsidRDefault="00EF64D1" w:rsidP="001103C8">
      <w:pPr>
        <w:spacing w:line="276" w:lineRule="auto"/>
        <w:jc w:val="both"/>
      </w:pPr>
      <w:r>
        <w:t>I</w:t>
      </w:r>
      <w:r w:rsidR="00C712B9">
        <w:t>n the 1970s, women were concerned about weight, diet, bodily appearance</w:t>
      </w:r>
      <w:r>
        <w:t xml:space="preserve"> as exemplified by the weight (losing weight</w:t>
      </w:r>
      <w:r w:rsidR="0030617D">
        <w:t>)</w:t>
      </w:r>
      <w:r>
        <w:t xml:space="preserve"> industry already working overtime</w:t>
      </w:r>
      <w:r w:rsidR="00717443">
        <w:t xml:space="preserve">, </w:t>
      </w:r>
      <w:r>
        <w:t>and women’s magazines laden with fashion, recipes, how to dress (the mantra of perpendicular stripes, not horizontal), makeup and diets.</w:t>
      </w:r>
      <w:r w:rsidR="00431859">
        <w:t xml:space="preserve"> Orbach herself recognised this in her early work, </w:t>
      </w:r>
      <w:r w:rsidR="00431859">
        <w:rPr>
          <w:i/>
          <w:iCs/>
        </w:rPr>
        <w:t>Fat is a Feminist Issue</w:t>
      </w:r>
      <w:r w:rsidR="00431859">
        <w:t>.</w:t>
      </w:r>
      <w:r w:rsidR="00431859">
        <w:rPr>
          <w:rStyle w:val="EndnoteReference"/>
        </w:rPr>
        <w:endnoteReference w:id="16"/>
      </w:r>
      <w:r w:rsidR="00431859">
        <w:t xml:space="preserve"> B</w:t>
      </w:r>
      <w:r w:rsidR="00C712B9">
        <w:t xml:space="preserve">ut </w:t>
      </w:r>
      <w:r>
        <w:t xml:space="preserve">despite this </w:t>
      </w:r>
      <w:r w:rsidR="006C19B0">
        <w:t>age-old</w:t>
      </w:r>
      <w:r w:rsidR="0030617D">
        <w:t xml:space="preserve"> </w:t>
      </w:r>
      <w:r>
        <w:t xml:space="preserve">malaise, </w:t>
      </w:r>
      <w:r w:rsidR="0030617D">
        <w:t xml:space="preserve">the 1970s </w:t>
      </w:r>
      <w:r w:rsidR="00C712B9">
        <w:t xml:space="preserve">aspiration and energy were directed toward shifting from this concern to position </w:t>
      </w:r>
      <w:r>
        <w:t xml:space="preserve">women substantively </w:t>
      </w:r>
      <w:r w:rsidR="00C712B9">
        <w:t>in the world</w:t>
      </w:r>
      <w:r>
        <w:t>. Women claimed a right to become and to be</w:t>
      </w:r>
      <w:r w:rsidR="00C712B9">
        <w:t xml:space="preserve"> legitimate operators at all levels of society and in all institutions</w:t>
      </w:r>
      <w:r w:rsidR="0030617D">
        <w:t>, without reliance on frippery or furbelow</w:t>
      </w:r>
      <w:r w:rsidR="00C712B9">
        <w:t xml:space="preserve">. Kate Millett in </w:t>
      </w:r>
      <w:r w:rsidR="00411AD2">
        <w:t xml:space="preserve">her own original work, </w:t>
      </w:r>
      <w:r w:rsidR="00411AD2">
        <w:rPr>
          <w:i/>
          <w:iCs/>
        </w:rPr>
        <w:t>Sexual Politics</w:t>
      </w:r>
      <w:r w:rsidR="00411AD2">
        <w:t xml:space="preserve">, </w:t>
      </w:r>
      <w:r w:rsidR="00411AD2" w:rsidRPr="00411AD2">
        <w:t>effectively</w:t>
      </w:r>
      <w:r w:rsidR="00411AD2">
        <w:t xml:space="preserve"> </w:t>
      </w:r>
      <w:r w:rsidR="00C712B9">
        <w:t xml:space="preserve">revived Simone de Beauvoir’s </w:t>
      </w:r>
      <w:r w:rsidR="00C712B9">
        <w:rPr>
          <w:i/>
          <w:iCs/>
        </w:rPr>
        <w:t>Second Sex</w:t>
      </w:r>
      <w:r w:rsidR="00411AD2">
        <w:t xml:space="preserve"> twenty years earlier</w:t>
      </w:r>
      <w:r w:rsidR="00C712B9">
        <w:t xml:space="preserve">, </w:t>
      </w:r>
      <w:r w:rsidR="00411AD2">
        <w:t>Millett engaging in</w:t>
      </w:r>
      <w:r w:rsidR="00C712B9">
        <w:t xml:space="preserve"> her own critique of literature, art, culture from </w:t>
      </w:r>
      <w:r w:rsidR="00411AD2">
        <w:t>t</w:t>
      </w:r>
      <w:r w:rsidR="00C712B9">
        <w:t xml:space="preserve">he perspective </w:t>
      </w:r>
      <w:r w:rsidR="00411AD2">
        <w:t xml:space="preserve">of </w:t>
      </w:r>
      <w:r w:rsidR="00C712B9">
        <w:t>an American scholar.</w:t>
      </w:r>
      <w:r w:rsidR="00431859">
        <w:rPr>
          <w:rStyle w:val="EndnoteReference"/>
        </w:rPr>
        <w:endnoteReference w:id="17"/>
      </w:r>
      <w:r w:rsidR="00C712B9">
        <w:t xml:space="preserve"> </w:t>
      </w:r>
      <w:r w:rsidR="00411AD2">
        <w:t>E</w:t>
      </w:r>
      <w:r w:rsidR="00C712B9">
        <w:t xml:space="preserve">arlier Betty Friedan’s </w:t>
      </w:r>
      <w:r w:rsidR="00C712B9">
        <w:rPr>
          <w:i/>
          <w:iCs/>
        </w:rPr>
        <w:t xml:space="preserve">The Feminine Mystique </w:t>
      </w:r>
      <w:r w:rsidR="00C712B9">
        <w:t xml:space="preserve">contested the notion that woman’s place was in the suburbs, content with three children, cat, dog, people carrier and a husband returning from his daily effort </w:t>
      </w:r>
      <w:r w:rsidR="00411AD2">
        <w:t>in the city</w:t>
      </w:r>
      <w:r w:rsidR="00C712B9">
        <w:t xml:space="preserve"> designed to keep woman, children, animals and both cars (his and hers) afloat financially.</w:t>
      </w:r>
      <w:r w:rsidR="00D4483A">
        <w:rPr>
          <w:rStyle w:val="EndnoteReference"/>
        </w:rPr>
        <w:endnoteReference w:id="18"/>
      </w:r>
      <w:r w:rsidR="00C712B9">
        <w:t xml:space="preserve"> </w:t>
      </w:r>
      <w:proofErr w:type="spellStart"/>
      <w:r w:rsidR="00C712B9">
        <w:t>Schulamith</w:t>
      </w:r>
      <w:proofErr w:type="spellEnd"/>
      <w:r w:rsidR="00C712B9">
        <w:t xml:space="preserve"> Firestone in </w:t>
      </w:r>
      <w:r w:rsidR="00C712B9">
        <w:rPr>
          <w:i/>
          <w:iCs/>
        </w:rPr>
        <w:t>The Dialectic of Sex</w:t>
      </w:r>
      <w:r w:rsidR="00C712B9">
        <w:t xml:space="preserve"> added intellectual ballast and ten years later </w:t>
      </w:r>
      <w:r w:rsidR="006B2FFC">
        <w:t>Su</w:t>
      </w:r>
      <w:r w:rsidR="00C712B9">
        <w:t>san Brownmiller followed up her peon against women’s subjection to rape</w:t>
      </w:r>
      <w:r w:rsidR="00875A0F">
        <w:t xml:space="preserve">, </w:t>
      </w:r>
      <w:r w:rsidR="00875A0F">
        <w:rPr>
          <w:i/>
          <w:iCs/>
        </w:rPr>
        <w:t>Against Her Will</w:t>
      </w:r>
      <w:r w:rsidR="006B2FFC">
        <w:t xml:space="preserve">, with her new book, </w:t>
      </w:r>
      <w:r w:rsidR="006B2FFC">
        <w:rPr>
          <w:i/>
          <w:iCs/>
        </w:rPr>
        <w:t>Femi</w:t>
      </w:r>
      <w:r w:rsidR="006C19B0">
        <w:rPr>
          <w:i/>
          <w:iCs/>
        </w:rPr>
        <w:t>ni</w:t>
      </w:r>
      <w:r w:rsidR="006B2FFC">
        <w:rPr>
          <w:i/>
          <w:iCs/>
        </w:rPr>
        <w:t>nity</w:t>
      </w:r>
      <w:r w:rsidR="00875A0F">
        <w:t>.</w:t>
      </w:r>
      <w:r w:rsidR="006D062B">
        <w:rPr>
          <w:rStyle w:val="EndnoteReference"/>
        </w:rPr>
        <w:endnoteReference w:id="19"/>
      </w:r>
      <w:r w:rsidR="00875A0F">
        <w:t xml:space="preserve"> Robin Morgan led </w:t>
      </w:r>
      <w:r w:rsidR="00411AD2">
        <w:t xml:space="preserve">in </w:t>
      </w:r>
      <w:r w:rsidR="00875A0F">
        <w:t>the radical movement</w:t>
      </w:r>
      <w:r w:rsidR="00864B1B">
        <w:t>, challenging the myth of bra burning, while leading women together on demonstrations and sit-ins, their bodies freed from brassier</w:t>
      </w:r>
      <w:r w:rsidR="006406C6">
        <w:t>e</w:t>
      </w:r>
      <w:r w:rsidR="00864B1B">
        <w:t xml:space="preserve"> and step-in constraints.</w:t>
      </w:r>
      <w:r w:rsidR="006D062B">
        <w:rPr>
          <w:rStyle w:val="EndnoteReference"/>
        </w:rPr>
        <w:endnoteReference w:id="20"/>
      </w:r>
      <w:r w:rsidR="0016633E">
        <w:t xml:space="preserve"> </w:t>
      </w:r>
      <w:r w:rsidR="00717443">
        <w:t xml:space="preserve">Jo Freeman published her vital work on the Women’s Liberation Movement’s organisational approach to securing change, </w:t>
      </w:r>
      <w:r w:rsidR="00717443">
        <w:rPr>
          <w:i/>
          <w:iCs/>
        </w:rPr>
        <w:t xml:space="preserve">The Tyranny of </w:t>
      </w:r>
      <w:proofErr w:type="spellStart"/>
      <w:r w:rsidR="00717443">
        <w:rPr>
          <w:i/>
          <w:iCs/>
        </w:rPr>
        <w:t>Structurelessness</w:t>
      </w:r>
      <w:proofErr w:type="spellEnd"/>
      <w:r w:rsidR="00864B1B">
        <w:t>,</w:t>
      </w:r>
      <w:r w:rsidR="00717443">
        <w:rPr>
          <w:rStyle w:val="EndnoteReference"/>
        </w:rPr>
        <w:endnoteReference w:id="21"/>
      </w:r>
      <w:r w:rsidR="00717443">
        <w:t xml:space="preserve"> </w:t>
      </w:r>
      <w:r w:rsidR="00864B1B">
        <w:t xml:space="preserve">advocating that attention be paid to power hidden under the cry for freedom from constraining organisational demands. </w:t>
      </w:r>
      <w:r w:rsidR="00717443">
        <w:t>Then, a</w:t>
      </w:r>
      <w:r w:rsidR="00411AD2">
        <w:t xml:space="preserve">fter doing a journalistic stint as a Playboy Bunny at Hugh Hefner’s club, </w:t>
      </w:r>
      <w:r w:rsidR="0016633E">
        <w:t xml:space="preserve">Gloria Steinem </w:t>
      </w:r>
      <w:r w:rsidR="00411AD2">
        <w:t xml:space="preserve">wrote </w:t>
      </w:r>
      <w:r w:rsidR="006406C6">
        <w:t>her</w:t>
      </w:r>
      <w:r w:rsidR="00411AD2">
        <w:t xml:space="preserve"> expose decrying the institutionalised </w:t>
      </w:r>
      <w:r w:rsidR="0016633E">
        <w:t xml:space="preserve">objectification of </w:t>
      </w:r>
      <w:r w:rsidR="006406C6">
        <w:t xml:space="preserve">the </w:t>
      </w:r>
      <w:r w:rsidR="0016633E">
        <w:t>wom</w:t>
      </w:r>
      <w:r w:rsidR="006406C6">
        <w:t>a</w:t>
      </w:r>
      <w:r w:rsidR="0016633E">
        <w:t>n</w:t>
      </w:r>
      <w:r w:rsidR="00411AD2">
        <w:t xml:space="preserve"> under the Bunny ears</w:t>
      </w:r>
      <w:r w:rsidR="00717443">
        <w:t>.</w:t>
      </w:r>
      <w:r w:rsidR="00717443">
        <w:rPr>
          <w:rStyle w:val="EndnoteReference"/>
        </w:rPr>
        <w:endnoteReference w:id="22"/>
      </w:r>
    </w:p>
    <w:p w14:paraId="28190E21" w14:textId="68877188" w:rsidR="00E62729" w:rsidRPr="00D404BC" w:rsidRDefault="00E028B1" w:rsidP="00E62729">
      <w:pPr>
        <w:jc w:val="both"/>
      </w:pPr>
      <w:r>
        <w:lastRenderedPageBreak/>
        <w:t xml:space="preserve">Almost instantly, however, </w:t>
      </w:r>
      <w:r w:rsidR="00BD2D3A">
        <w:t xml:space="preserve">the 1970s saw a </w:t>
      </w:r>
      <w:r w:rsidR="00E62729" w:rsidRPr="00D404BC">
        <w:t xml:space="preserve">raft of books and articles </w:t>
      </w:r>
      <w:r>
        <w:t xml:space="preserve">published </w:t>
      </w:r>
      <w:r w:rsidR="00E62729" w:rsidRPr="00D404BC">
        <w:t xml:space="preserve">as an antidote to the rejection by the Women’s Movement of lipstick, </w:t>
      </w:r>
      <w:proofErr w:type="gramStart"/>
      <w:r w:rsidR="00E62729" w:rsidRPr="00D404BC">
        <w:t>bras</w:t>
      </w:r>
      <w:proofErr w:type="gramEnd"/>
      <w:r w:rsidR="00E62729" w:rsidRPr="00D404BC">
        <w:t xml:space="preserve"> and step-ins (a modified corset or girdle), and the replacement of stockings and suspenders with pantyhose. </w:t>
      </w:r>
      <w:r w:rsidR="00BD2D3A">
        <w:t xml:space="preserve">When American women demonstrated </w:t>
      </w:r>
      <w:r w:rsidR="00EE08E4">
        <w:t>in Atlanta at the Miss American contest, throwing underwear (including bras) and other paraphernalia into a ‘Freedom Trash Can’, it was inevitable that the establishment would respond.</w:t>
      </w:r>
      <w:r w:rsidR="00EE08E4">
        <w:rPr>
          <w:rStyle w:val="EndnoteReference"/>
        </w:rPr>
        <w:endnoteReference w:id="23"/>
      </w:r>
      <w:r w:rsidR="00EE08E4">
        <w:t xml:space="preserve"> </w:t>
      </w:r>
      <w:r w:rsidR="00E62729" w:rsidRPr="00D404BC">
        <w:t xml:space="preserve">Marabel Morgan’s </w:t>
      </w:r>
      <w:r w:rsidR="00E62729" w:rsidRPr="00E471CC">
        <w:rPr>
          <w:bCs/>
          <w:i/>
        </w:rPr>
        <w:t>The Total Woman</w:t>
      </w:r>
      <w:r w:rsidR="00E62729" w:rsidRPr="00D404BC">
        <w:t xml:space="preserve">, </w:t>
      </w:r>
      <w:r>
        <w:t xml:space="preserve">advertised as having sold </w:t>
      </w:r>
      <w:r w:rsidR="00E62729" w:rsidRPr="00D404BC">
        <w:t>more than ten million copies, was perhaps the most popular</w:t>
      </w:r>
      <w:r w:rsidR="00E471CC">
        <w:t xml:space="preserve"> of the anti-feminist tomes</w:t>
      </w:r>
      <w:r w:rsidR="006406C6">
        <w:t xml:space="preserve"> of the time</w:t>
      </w:r>
      <w:r w:rsidR="00E62729" w:rsidRPr="00D404BC">
        <w:t>.</w:t>
      </w:r>
      <w:r w:rsidR="00E471CC">
        <w:rPr>
          <w:rStyle w:val="EndnoteReference"/>
        </w:rPr>
        <w:endnoteReference w:id="24"/>
      </w:r>
      <w:r w:rsidR="00E62729" w:rsidRPr="00D404BC">
        <w:t xml:space="preserve"> She advocated that women enfold themselves in saran wrap – a transparent plastic used to preserve left-over food – </w:t>
      </w:r>
      <w:r>
        <w:t xml:space="preserve">before </w:t>
      </w:r>
      <w:r w:rsidR="00E62729" w:rsidRPr="00D404BC">
        <w:t xml:space="preserve">greeting a husband just home from work. An alternative was to spread oneself liberally in jam or honey whilst making supper for a husband lying prone on couch or carpet watching evening television. In this context, ‘wife’ was supposed to equal ‘supper’. </w:t>
      </w:r>
    </w:p>
    <w:p w14:paraId="7EE774CB" w14:textId="3212C61D" w:rsidR="00E62729" w:rsidRDefault="00E62729" w:rsidP="00E62729">
      <w:pPr>
        <w:jc w:val="both"/>
      </w:pPr>
      <w:r w:rsidRPr="00D404BC">
        <w:t xml:space="preserve">Although the book and her accompanying seminars had a </w:t>
      </w:r>
      <w:r w:rsidR="00E028B1">
        <w:t xml:space="preserve">reputedly </w:t>
      </w:r>
      <w:r w:rsidRPr="00D404BC">
        <w:t>massive audience, it is doubtful that many women went to the lengths Marabel Morgan suggested.</w:t>
      </w:r>
      <w:r w:rsidR="00E028B1">
        <w:rPr>
          <w:rStyle w:val="EndnoteReference"/>
        </w:rPr>
        <w:endnoteReference w:id="25"/>
      </w:r>
      <w:r w:rsidRPr="00D404BC">
        <w:t xml:space="preserve"> Yet perhaps a return to her </w:t>
      </w:r>
      <w:r w:rsidR="00DD7DC0">
        <w:t xml:space="preserve">bizarre </w:t>
      </w:r>
      <w:r w:rsidR="0075233B">
        <w:t xml:space="preserve">instructions for </w:t>
      </w:r>
      <w:r w:rsidRPr="00D404BC">
        <w:t>feminine enhancement would be less damaging to women than a visit to today’s beauty parlours, and – extraordinary though it may seem - even less dangerous or humiliating. A</w:t>
      </w:r>
      <w:r w:rsidR="00D74D1E">
        <w:t xml:space="preserve">nd certainly, </w:t>
      </w:r>
      <w:r w:rsidRPr="00D404BC">
        <w:t>less expensive.</w:t>
      </w:r>
    </w:p>
    <w:p w14:paraId="57AD0F52" w14:textId="55C1AE11" w:rsidR="00BB17A3" w:rsidRPr="00150132" w:rsidRDefault="00BB17A3" w:rsidP="00BB17A3">
      <w:pPr>
        <w:shd w:val="clear" w:color="auto" w:fill="FFFFFF"/>
        <w:spacing w:before="100" w:beforeAutospacing="1" w:after="100" w:afterAutospacing="1" w:line="276" w:lineRule="auto"/>
        <w:jc w:val="both"/>
        <w:rPr>
          <w:rFonts w:eastAsia="Times New Roman" w:cs="Times New Roman"/>
          <w:color w:val="232323"/>
          <w:lang w:val="en" w:eastAsia="en-GB"/>
        </w:rPr>
      </w:pPr>
      <w:r>
        <w:rPr>
          <w:rFonts w:eastAsia="Times New Roman" w:cs="Times New Roman"/>
          <w:color w:val="232323"/>
          <w:lang w:val="en" w:eastAsia="en-GB"/>
        </w:rPr>
        <w:t xml:space="preserve">In June 2019, the </w:t>
      </w:r>
      <w:r>
        <w:rPr>
          <w:rFonts w:eastAsia="Times New Roman" w:cs="Times New Roman"/>
          <w:i/>
          <w:iCs/>
          <w:color w:val="232323"/>
          <w:lang w:val="en" w:eastAsia="en-GB"/>
        </w:rPr>
        <w:t xml:space="preserve">Sydney Morning Herald </w:t>
      </w:r>
      <w:r>
        <w:rPr>
          <w:rFonts w:eastAsia="Times New Roman" w:cs="Times New Roman"/>
          <w:color w:val="232323"/>
          <w:lang w:val="en" w:eastAsia="en-GB"/>
        </w:rPr>
        <w:t>reported that spending on basic beauty routines ‘is out of control’. ‘Basic’ maintenance for women in their early twenties and thirties ‘is costing [them] the equivalent of a house deposit’.</w:t>
      </w:r>
      <w:r>
        <w:rPr>
          <w:rStyle w:val="EndnoteReference"/>
          <w:rFonts w:eastAsia="Times New Roman" w:cs="Times New Roman"/>
          <w:color w:val="232323"/>
          <w:lang w:val="en" w:eastAsia="en-GB"/>
        </w:rPr>
        <w:endnoteReference w:id="26"/>
      </w:r>
      <w:r>
        <w:rPr>
          <w:rFonts w:eastAsia="Times New Roman" w:cs="Times New Roman"/>
          <w:color w:val="232323"/>
          <w:lang w:val="en" w:eastAsia="en-GB"/>
        </w:rPr>
        <w:t xml:space="preserve"> At a conservative estimate, approximately $AUS 14,000 (some £8,000) is spent by each woman on ‘standard’ treatments. This includes ‘six to eight-weekly haircuts and </w:t>
      </w:r>
      <w:proofErr w:type="spellStart"/>
      <w:r>
        <w:rPr>
          <w:rFonts w:eastAsia="Times New Roman" w:cs="Times New Roman"/>
          <w:color w:val="232323"/>
          <w:lang w:val="en" w:eastAsia="en-GB"/>
        </w:rPr>
        <w:t>colour</w:t>
      </w:r>
      <w:proofErr w:type="spellEnd"/>
      <w:r>
        <w:rPr>
          <w:rFonts w:eastAsia="Times New Roman" w:cs="Times New Roman"/>
          <w:color w:val="232323"/>
          <w:lang w:val="en" w:eastAsia="en-GB"/>
        </w:rPr>
        <w:t>, regular blow waves, (preventive) Botox, non-fat fillers, professional teeth whitening, eyelash extensions and refills, microdermabrasion, SNS nails [Signature Nail Systems], pedicures and laser hair removal’.</w:t>
      </w:r>
      <w:r>
        <w:rPr>
          <w:rStyle w:val="EndnoteReference"/>
          <w:rFonts w:eastAsia="Times New Roman" w:cs="Times New Roman"/>
          <w:color w:val="232323"/>
          <w:lang w:val="en" w:eastAsia="en-GB"/>
        </w:rPr>
        <w:endnoteReference w:id="27"/>
      </w:r>
      <w:r>
        <w:rPr>
          <w:rFonts w:eastAsia="Times New Roman" w:cs="Times New Roman"/>
          <w:color w:val="232323"/>
          <w:lang w:val="en" w:eastAsia="en-GB"/>
        </w:rPr>
        <w:t xml:space="preserve"> Over and above this, cash is being laid out on skin care and make-up in the privacy of a woman’s own bedroom or bathroom, plus salon facials, waxing and spray tans, as well as ‘special events’ including the racing season, the festive season and celebrations such as birthdays</w:t>
      </w:r>
      <w:r w:rsidR="00CF7309">
        <w:rPr>
          <w:rFonts w:eastAsia="Times New Roman" w:cs="Times New Roman"/>
          <w:color w:val="232323"/>
          <w:lang w:val="en" w:eastAsia="en-GB"/>
        </w:rPr>
        <w:t xml:space="preserve">, </w:t>
      </w:r>
      <w:r>
        <w:rPr>
          <w:rFonts w:eastAsia="Times New Roman" w:cs="Times New Roman"/>
          <w:color w:val="232323"/>
          <w:lang w:val="en" w:eastAsia="en-GB"/>
        </w:rPr>
        <w:t>weddings</w:t>
      </w:r>
      <w:r w:rsidR="00CF7309">
        <w:rPr>
          <w:rFonts w:eastAsia="Times New Roman" w:cs="Times New Roman"/>
          <w:color w:val="232323"/>
          <w:lang w:val="en" w:eastAsia="en-GB"/>
        </w:rPr>
        <w:t xml:space="preserve"> and Valentine’s Day</w:t>
      </w:r>
      <w:r>
        <w:rPr>
          <w:rFonts w:eastAsia="Times New Roman" w:cs="Times New Roman"/>
          <w:color w:val="232323"/>
          <w:lang w:val="en" w:eastAsia="en-GB"/>
        </w:rPr>
        <w:t>. Adding these into the estimates of women’s annual expenditure would a</w:t>
      </w:r>
      <w:r w:rsidR="00365A41">
        <w:rPr>
          <w:rFonts w:eastAsia="Times New Roman" w:cs="Times New Roman"/>
          <w:color w:val="232323"/>
          <w:lang w:val="en" w:eastAsia="en-GB"/>
        </w:rPr>
        <w:t xml:space="preserve">mount </w:t>
      </w:r>
      <w:r>
        <w:rPr>
          <w:rFonts w:eastAsia="Times New Roman" w:cs="Times New Roman"/>
          <w:color w:val="232323"/>
          <w:lang w:val="en" w:eastAsia="en-GB"/>
        </w:rPr>
        <w:t>to ‘hundreds of thousands of [dollars] over the course of a woman’s life’.</w:t>
      </w:r>
      <w:r>
        <w:rPr>
          <w:rStyle w:val="EndnoteReference"/>
          <w:rFonts w:eastAsia="Times New Roman" w:cs="Times New Roman"/>
          <w:color w:val="232323"/>
          <w:lang w:val="en" w:eastAsia="en-GB"/>
        </w:rPr>
        <w:endnoteReference w:id="28"/>
      </w:r>
      <w:r>
        <w:rPr>
          <w:rFonts w:eastAsia="Times New Roman" w:cs="Times New Roman"/>
          <w:color w:val="232323"/>
          <w:lang w:val="en" w:eastAsia="en-GB"/>
        </w:rPr>
        <w:t xml:space="preserve"> Investigating, writer Kasey Edwards asked a trader in stocks and shares to estimate how an alternative approach of investing the $AUS 14,000 would look. </w:t>
      </w:r>
      <w:proofErr w:type="gramStart"/>
      <w:r>
        <w:rPr>
          <w:rFonts w:eastAsia="Times New Roman" w:cs="Times New Roman"/>
          <w:color w:val="232323"/>
          <w:lang w:val="en" w:eastAsia="en-GB"/>
        </w:rPr>
        <w:t>On the basis of</w:t>
      </w:r>
      <w:proofErr w:type="gramEnd"/>
      <w:r>
        <w:rPr>
          <w:rFonts w:eastAsia="Times New Roman" w:cs="Times New Roman"/>
          <w:color w:val="232323"/>
          <w:lang w:val="en" w:eastAsia="en-GB"/>
        </w:rPr>
        <w:t xml:space="preserve"> ‘net returns of about seven to eight percent’, over about a decade that figure ‘could be rapidly swelling towards $AUS 250,000’</w:t>
      </w:r>
      <w:r w:rsidR="00365A41">
        <w:rPr>
          <w:rFonts w:eastAsia="Times New Roman" w:cs="Times New Roman"/>
          <w:color w:val="232323"/>
          <w:lang w:val="en" w:eastAsia="en-GB"/>
        </w:rPr>
        <w:t xml:space="preserve"> (£140,000)</w:t>
      </w:r>
      <w:r>
        <w:rPr>
          <w:rFonts w:eastAsia="Times New Roman" w:cs="Times New Roman"/>
          <w:color w:val="232323"/>
          <w:lang w:val="en" w:eastAsia="en-GB"/>
        </w:rPr>
        <w:t>. Even if simply left in a bank term deposit for some six years, that same $AUS 14,000 could gain a woman a six-figure sum.</w:t>
      </w:r>
      <w:r w:rsidR="00827A52">
        <w:rPr>
          <w:rStyle w:val="EndnoteReference"/>
          <w:rFonts w:eastAsia="Times New Roman" w:cs="Times New Roman"/>
          <w:color w:val="232323"/>
          <w:lang w:val="en" w:eastAsia="en-GB"/>
        </w:rPr>
        <w:endnoteReference w:id="29"/>
      </w:r>
    </w:p>
    <w:p w14:paraId="0F3C7E9D" w14:textId="3DBEDBBC" w:rsidR="00E62729" w:rsidRDefault="00CF7309" w:rsidP="00365A41">
      <w:pPr>
        <w:spacing w:line="276" w:lineRule="auto"/>
        <w:jc w:val="both"/>
      </w:pPr>
      <w:r>
        <w:t xml:space="preserve">Yet entering </w:t>
      </w:r>
      <w:r w:rsidR="00E62729" w:rsidRPr="00D404BC">
        <w:t xml:space="preserve">a beauty parlour </w:t>
      </w:r>
      <w:r>
        <w:t xml:space="preserve">is not the only way a woman can be </w:t>
      </w:r>
      <w:r w:rsidR="00E62729" w:rsidRPr="00D404BC">
        <w:t>regaled with methods and mechanisms for</w:t>
      </w:r>
      <w:r w:rsidR="005E325F">
        <w:t xml:space="preserve"> spending money to</w:t>
      </w:r>
      <w:r w:rsidR="00E62729" w:rsidRPr="00D404BC">
        <w:t xml:space="preserve"> becom</w:t>
      </w:r>
      <w:r w:rsidR="005E325F">
        <w:t>e</w:t>
      </w:r>
      <w:r w:rsidR="00E62729" w:rsidRPr="00D404BC">
        <w:t xml:space="preserve"> beautiful. In London, venturing into a large department store in </w:t>
      </w:r>
      <w:r w:rsidR="008D72E0">
        <w:t xml:space="preserve">Oxford </w:t>
      </w:r>
      <w:r w:rsidR="00E62729" w:rsidRPr="00D404BC">
        <w:t>Street means being assailed on all sides by</w:t>
      </w:r>
      <w:r w:rsidR="00E44B3F">
        <w:t xml:space="preserve"> ‘product’</w:t>
      </w:r>
      <w:r w:rsidR="00E62729" w:rsidRPr="00D404BC">
        <w:t xml:space="preserve"> representatives bearing potions, lotions and pastes in tubes, jars and containers of all dimensions, or brandishing hair-wands, lash-curlers or body-shapers of all sorts and sizes. </w:t>
      </w:r>
      <w:r w:rsidR="007811F2">
        <w:t xml:space="preserve">Sauntering </w:t>
      </w:r>
      <w:r w:rsidR="00E62729" w:rsidRPr="00D404BC">
        <w:t>into</w:t>
      </w:r>
      <w:r w:rsidR="005E325F">
        <w:t xml:space="preserve"> shopping malls </w:t>
      </w:r>
      <w:r w:rsidR="00E62729" w:rsidRPr="00D404BC">
        <w:t>brings with it a need to avoid salespeople imploring passers</w:t>
      </w:r>
      <w:r w:rsidR="007811F2">
        <w:t>-</w:t>
      </w:r>
      <w:r w:rsidR="00E62729" w:rsidRPr="00D404BC">
        <w:t xml:space="preserve">by to sample a wide variety of perfume, </w:t>
      </w:r>
      <w:proofErr w:type="gramStart"/>
      <w:r w:rsidR="00E62729" w:rsidRPr="00D404BC">
        <w:t>cosmetics</w:t>
      </w:r>
      <w:proofErr w:type="gramEnd"/>
      <w:r w:rsidR="00E62729" w:rsidRPr="00D404BC">
        <w:t xml:space="preserve"> and beauty treatments. </w:t>
      </w:r>
      <w:r w:rsidR="005E325F">
        <w:t>American</w:t>
      </w:r>
      <w:r w:rsidR="00A27E3E">
        <w:t xml:space="preserve">, </w:t>
      </w:r>
      <w:proofErr w:type="gramStart"/>
      <w:r w:rsidR="00E62729" w:rsidRPr="00D404BC">
        <w:t>Australian</w:t>
      </w:r>
      <w:proofErr w:type="gramEnd"/>
      <w:r w:rsidR="00E62729" w:rsidRPr="00D404BC">
        <w:t xml:space="preserve"> </w:t>
      </w:r>
      <w:r w:rsidR="00A27E3E">
        <w:t xml:space="preserve">and other major </w:t>
      </w:r>
      <w:r w:rsidR="00E62729" w:rsidRPr="00D404BC">
        <w:t>capital cities carry their own brand of cosmetic confrontation, with department store refurbishment</w:t>
      </w:r>
      <w:r w:rsidR="005E325F">
        <w:t xml:space="preserve">s undertaken regularly to position </w:t>
      </w:r>
      <w:r w:rsidR="00E62729" w:rsidRPr="00D404BC">
        <w:t>make-up and perfume counter</w:t>
      </w:r>
      <w:r w:rsidR="005E325F">
        <w:t>s</w:t>
      </w:r>
      <w:r w:rsidR="00E62729" w:rsidRPr="00D404BC">
        <w:t xml:space="preserve"> at the forefront of luring the customer.</w:t>
      </w:r>
      <w:r w:rsidR="00A27E3E">
        <w:t xml:space="preserve"> </w:t>
      </w:r>
      <w:r>
        <w:t xml:space="preserve">In the 1980s, competition between Opium, Obsession, </w:t>
      </w:r>
      <w:proofErr w:type="gramStart"/>
      <w:r>
        <w:t>Tresor</w:t>
      </w:r>
      <w:proofErr w:type="gramEnd"/>
      <w:r>
        <w:t xml:space="preserve"> and Shalima was at its height.</w:t>
      </w:r>
      <w:r>
        <w:rPr>
          <w:rStyle w:val="EndnoteReference"/>
        </w:rPr>
        <w:endnoteReference w:id="30"/>
      </w:r>
      <w:r>
        <w:t xml:space="preserve"> In 1983 in Melbourne and Sydney, New York and San Francisco, department stores positioned scent-bottle-</w:t>
      </w:r>
      <w:r w:rsidR="003E39D8">
        <w:t>atomisers</w:t>
      </w:r>
      <w:r>
        <w:t xml:space="preserve"> at every major </w:t>
      </w:r>
      <w:r w:rsidR="00E970B2">
        <w:t>entryway</w:t>
      </w:r>
      <w:r>
        <w:t xml:space="preserve">, </w:t>
      </w:r>
      <w:r>
        <w:lastRenderedPageBreak/>
        <w:t xml:space="preserve">spraying Angel on every woman </w:t>
      </w:r>
      <w:r w:rsidR="00E970B2">
        <w:t>passing through their doors</w:t>
      </w:r>
      <w:r>
        <w:t xml:space="preserve">. The scent wafted inside </w:t>
      </w:r>
      <w:r w:rsidR="00E970B2">
        <w:t xml:space="preserve">between display counters, into elevators and up the escalators, filling passageways </w:t>
      </w:r>
      <w:r>
        <w:t xml:space="preserve">and outside into the malls. </w:t>
      </w:r>
      <w:r w:rsidR="00E62729" w:rsidRPr="00D404BC">
        <w:t xml:space="preserve">Meanwhile, </w:t>
      </w:r>
      <w:r>
        <w:t xml:space="preserve">in the 2000s, </w:t>
      </w:r>
      <w:r w:rsidR="00E62729" w:rsidRPr="00D404BC">
        <w:t xml:space="preserve">beauty </w:t>
      </w:r>
      <w:r w:rsidR="00BE1349">
        <w:t>salons</w:t>
      </w:r>
      <w:r w:rsidR="00E62729" w:rsidRPr="00D404BC">
        <w:t xml:space="preserve"> adopt more and more fanciful methods of pampering the body, more and more ways of ensuring that women’s pockets and purses open wide in the search for the perfect body</w:t>
      </w:r>
      <w:r w:rsidR="0029328D">
        <w:t xml:space="preserve"> with flawless features, and </w:t>
      </w:r>
      <w:r w:rsidR="00E62729" w:rsidRPr="00D404BC">
        <w:t>the face of beauty – according to conventional diktat.</w:t>
      </w:r>
      <w:r w:rsidR="0029328D">
        <w:t xml:space="preserve"> </w:t>
      </w:r>
    </w:p>
    <w:p w14:paraId="1CD7D125" w14:textId="3013CF9E" w:rsidR="007E252A" w:rsidRPr="00D404BC" w:rsidRDefault="007E252A" w:rsidP="007E252A">
      <w:pPr>
        <w:spacing w:line="276" w:lineRule="auto"/>
        <w:jc w:val="both"/>
      </w:pPr>
      <w:r w:rsidRPr="00D404BC">
        <w:t>Want puffed-up lips? This comes not by the sting of a bee, but through the injection of chemical fillers, or agitating the lips with capsicum or chilli. Collagen and more recently developed products using hyaluronic acid operate akin to scaffolding, although ‘care must be taken’ to avoid ‘creating ridges’ giving the mouth ‘an ugly edge’.</w:t>
      </w:r>
      <w:r>
        <w:rPr>
          <w:rStyle w:val="EndnoteReference"/>
        </w:rPr>
        <w:endnoteReference w:id="31"/>
      </w:r>
      <w:r w:rsidRPr="00D404BC">
        <w:t xml:space="preserve"> Silicone implants or ‘</w:t>
      </w:r>
      <w:proofErr w:type="spellStart"/>
      <w:r w:rsidRPr="00D404BC">
        <w:t>Permalip</w:t>
      </w:r>
      <w:proofErr w:type="spellEnd"/>
      <w:r w:rsidRPr="00D404BC">
        <w:t>’ last longer – though they cost twice as much: $</w:t>
      </w:r>
      <w:r>
        <w:t xml:space="preserve">AUS </w:t>
      </w:r>
      <w:r w:rsidRPr="00D404BC">
        <w:t xml:space="preserve">2,000 </w:t>
      </w:r>
      <w:r>
        <w:t xml:space="preserve">to $AUS 4,000 (some £2,000) </w:t>
      </w:r>
      <w:r w:rsidRPr="00D404BC">
        <w:t>as opposed to $</w:t>
      </w:r>
      <w:r>
        <w:t xml:space="preserve">AUS </w:t>
      </w:r>
      <w:r w:rsidRPr="00D404BC">
        <w:t>1,000</w:t>
      </w:r>
      <w:r>
        <w:t xml:space="preserve"> to $AUS 2,000 (some £1500)</w:t>
      </w:r>
      <w:r w:rsidRPr="00D404BC">
        <w:t xml:space="preserve"> for several months of a protuberant pout. Then – it’s back to the beauty (sic) parlour to be relieved of another hefty sum.</w:t>
      </w:r>
      <w:r>
        <w:t xml:space="preserve"> </w:t>
      </w:r>
      <w:r w:rsidR="007811F2">
        <w:t xml:space="preserve">Worried about fading eyebrows or </w:t>
      </w:r>
      <w:r w:rsidR="00F05147">
        <w:t>wanting</w:t>
      </w:r>
      <w:r w:rsidR="007811F2">
        <w:t xml:space="preserve"> better-defined arches? Microblading at $AUS 1000 </w:t>
      </w:r>
      <w:r w:rsidR="00F05147">
        <w:t>(</w:t>
      </w:r>
      <w:r w:rsidR="007811F2">
        <w:t>£</w:t>
      </w:r>
      <w:r w:rsidR="00F05147">
        <w:t>6</w:t>
      </w:r>
      <w:r w:rsidR="007811F2">
        <w:t>00</w:t>
      </w:r>
      <w:r w:rsidR="00F05147">
        <w:t>) ‘is not that painful’, it’s ‘pretty quick’, and you can have high arches or straight arches or mildly-curved arches tattooed into your brow.</w:t>
      </w:r>
      <w:r w:rsidR="00F05147">
        <w:rPr>
          <w:rStyle w:val="EndnoteReference"/>
        </w:rPr>
        <w:endnoteReference w:id="32"/>
      </w:r>
      <w:r w:rsidR="00F05147">
        <w:t xml:space="preserve"> It takes</w:t>
      </w:r>
      <w:r w:rsidR="009B0915">
        <w:t xml:space="preserve"> anaesthetic cream, the wielding of a ‘scalpel-like instrument’ (microblade), scratching pigment into your skin, two weeks of healing</w:t>
      </w:r>
      <w:r w:rsidR="00C57EF3">
        <w:t>, at least five applications of aftercare cream</w:t>
      </w:r>
      <w:r w:rsidR="00B003DD">
        <w:t>, wearing a plastic head-shade in the shower</w:t>
      </w:r>
      <w:r w:rsidR="009B0915">
        <w:t xml:space="preserve"> and t</w:t>
      </w:r>
      <w:r w:rsidR="00C57EF3">
        <w:t>hree follow-up</w:t>
      </w:r>
      <w:r w:rsidR="009B0915">
        <w:t xml:space="preserve"> visit</w:t>
      </w:r>
      <w:r w:rsidR="00C57EF3">
        <w:t xml:space="preserve">s. But, hey presto, the arches are well-defined … Then again, it’s trimming, plugging, </w:t>
      </w:r>
      <w:proofErr w:type="gramStart"/>
      <w:r w:rsidR="00C57EF3">
        <w:t>waxing</w:t>
      </w:r>
      <w:proofErr w:type="gramEnd"/>
      <w:r w:rsidR="00C57EF3">
        <w:t xml:space="preserve"> or threading as usual. Still, w</w:t>
      </w:r>
      <w:r w:rsidRPr="00D404BC">
        <w:t>hat about an end to wrinkles? This requires a good dose of botulism or, as advertised, its commercially named Botox. Rather than the death that follows upon a botulism bout, Botox targets ageing’s most visible facial indicator. Of course, this</w:t>
      </w:r>
      <w:r>
        <w:t xml:space="preserve"> has </w:t>
      </w:r>
      <w:r w:rsidRPr="00D404BC">
        <w:t xml:space="preserve">costs, too. Yet perhaps rather than the monetary outlay, the so-called ‘side’ effects should be </w:t>
      </w:r>
      <w:proofErr w:type="gramStart"/>
      <w:r w:rsidRPr="00D404BC">
        <w:t>centre-stage</w:t>
      </w:r>
      <w:proofErr w:type="gramEnd"/>
      <w:r w:rsidRPr="00D404BC">
        <w:t xml:space="preserve">. Lessening or alleviating frown-lines may cause life-threatening conditions that, once detected – even at their most mild stage - dictate an immediate call to the doctor or the nearest hospital’s emergency department. These include: </w:t>
      </w:r>
    </w:p>
    <w:p w14:paraId="1E7F476B" w14:textId="45C334C7" w:rsidR="007E252A" w:rsidRPr="00E51E21" w:rsidRDefault="007E252A" w:rsidP="006D77ED">
      <w:pPr>
        <w:numPr>
          <w:ilvl w:val="0"/>
          <w:numId w:val="5"/>
        </w:numPr>
        <w:spacing w:after="0" w:line="276" w:lineRule="auto"/>
        <w:jc w:val="both"/>
        <w:rPr>
          <w:u w:val="single"/>
        </w:rPr>
      </w:pPr>
      <w:r w:rsidRPr="00D404BC">
        <w:t xml:space="preserve">Problems with swallowing, speaking or breathing, caused by weakening of facial or throat </w:t>
      </w:r>
      <w:proofErr w:type="gramStart"/>
      <w:r w:rsidR="00E51E21">
        <w:t>muscles</w:t>
      </w:r>
      <w:r w:rsidR="006D77ED">
        <w:t>;</w:t>
      </w:r>
      <w:proofErr w:type="gramEnd"/>
    </w:p>
    <w:p w14:paraId="13E39895" w14:textId="2AA57FDB" w:rsidR="007E252A" w:rsidRPr="00D404BC" w:rsidRDefault="007E252A" w:rsidP="006D77ED">
      <w:pPr>
        <w:numPr>
          <w:ilvl w:val="0"/>
          <w:numId w:val="5"/>
        </w:numPr>
        <w:spacing w:after="0" w:line="276" w:lineRule="auto"/>
        <w:jc w:val="both"/>
      </w:pPr>
      <w:r w:rsidRPr="00D404BC">
        <w:t xml:space="preserve">Loss of strength and ‘all-over muscle </w:t>
      </w:r>
      <w:proofErr w:type="gramStart"/>
      <w:r w:rsidRPr="00D404BC">
        <w:t>weakness’</w:t>
      </w:r>
      <w:proofErr w:type="gramEnd"/>
      <w:r w:rsidRPr="00D404BC">
        <w:t>, as well as double or blurred vision, ‘drooping or swelling’ eyelids, dry eyes, loss of capacity to speak, hoarseness or inability to articulate clearly, loss of bladder</w:t>
      </w:r>
      <w:r w:rsidR="00E51E21">
        <w:t xml:space="preserve"> control</w:t>
      </w:r>
      <w:r w:rsidRPr="00D404BC">
        <w:t>;</w:t>
      </w:r>
    </w:p>
    <w:p w14:paraId="1D615543" w14:textId="6CCC82CB" w:rsidR="007E252A" w:rsidRPr="00D404BC" w:rsidRDefault="007E252A" w:rsidP="006D77ED">
      <w:pPr>
        <w:numPr>
          <w:ilvl w:val="0"/>
          <w:numId w:val="5"/>
        </w:numPr>
        <w:spacing w:after="0" w:line="276" w:lineRule="auto"/>
        <w:jc w:val="both"/>
      </w:pPr>
      <w:r w:rsidRPr="00D404BC">
        <w:t xml:space="preserve">Dry mouth, discomfort or pain at the site of injections, tiredness, </w:t>
      </w:r>
      <w:r w:rsidRPr="00E51E21">
        <w:t>neck</w:t>
      </w:r>
      <w:r w:rsidR="00E51E21">
        <w:t xml:space="preserve"> pain</w:t>
      </w:r>
      <w:r w:rsidRPr="00E51E21">
        <w:t xml:space="preserve">, </w:t>
      </w:r>
      <w:proofErr w:type="gramStart"/>
      <w:r w:rsidRPr="00E51E21">
        <w:t>headaches</w:t>
      </w:r>
      <w:r w:rsidRPr="00D404BC">
        <w:t>;</w:t>
      </w:r>
      <w:proofErr w:type="gramEnd"/>
      <w:r w:rsidRPr="00D404BC">
        <w:t xml:space="preserve"> </w:t>
      </w:r>
    </w:p>
    <w:p w14:paraId="3A10A99B" w14:textId="6359781A" w:rsidR="007E252A" w:rsidRDefault="007E252A" w:rsidP="006D77ED">
      <w:pPr>
        <w:numPr>
          <w:ilvl w:val="0"/>
          <w:numId w:val="5"/>
        </w:numPr>
        <w:spacing w:after="0" w:line="276" w:lineRule="auto"/>
        <w:jc w:val="both"/>
      </w:pPr>
      <w:r w:rsidRPr="00D404BC">
        <w:t>Allergic reactions including ‘itching, rash, red itchy welts, wheezing, asthma symptoms, dizziness or feeling faint’.</w:t>
      </w:r>
      <w:r w:rsidR="00C8139D">
        <w:rPr>
          <w:rStyle w:val="EndnoteReference"/>
        </w:rPr>
        <w:endnoteReference w:id="33"/>
      </w:r>
    </w:p>
    <w:p w14:paraId="2C4776FA" w14:textId="77777777" w:rsidR="007E252A" w:rsidRPr="00D404BC" w:rsidRDefault="007E252A" w:rsidP="007E252A">
      <w:pPr>
        <w:spacing w:after="0" w:line="276" w:lineRule="auto"/>
        <w:ind w:left="720"/>
        <w:jc w:val="both"/>
      </w:pPr>
    </w:p>
    <w:p w14:paraId="4CAC1C3A" w14:textId="18BBB82D" w:rsidR="007E252A" w:rsidRDefault="00A0548A" w:rsidP="007E252A">
      <w:pPr>
        <w:spacing w:line="276" w:lineRule="auto"/>
        <w:jc w:val="both"/>
      </w:pPr>
      <w:r>
        <w:t xml:space="preserve">Even so, said </w:t>
      </w:r>
      <w:r w:rsidR="007E252A" w:rsidRPr="00D404BC">
        <w:t>one Botox website</w:t>
      </w:r>
      <w:r w:rsidR="00900FD5">
        <w:t xml:space="preserve"> in November 2011</w:t>
      </w:r>
      <w:r w:rsidR="007E252A" w:rsidRPr="00D404BC">
        <w:t xml:space="preserve">, ‘no confirmed serious case of spread of toxin effect’ has been reported from between-the-eyes </w:t>
      </w:r>
      <w:proofErr w:type="spellStart"/>
      <w:r w:rsidR="007E252A" w:rsidRPr="00D404BC">
        <w:t>botoxing</w:t>
      </w:r>
      <w:proofErr w:type="spellEnd"/>
      <w:r w:rsidR="007E252A" w:rsidRPr="00D404BC">
        <w:t>.</w:t>
      </w:r>
      <w:r w:rsidR="007E252A">
        <w:rPr>
          <w:rStyle w:val="EndnoteReference"/>
        </w:rPr>
        <w:endnoteReference w:id="34"/>
      </w:r>
      <w:r w:rsidR="007E252A" w:rsidRPr="00D404BC">
        <w:t xml:space="preserve"> Nonetheless, if these symptoms occur, a sufferer ought not to ‘drive a car, operate machinery, or do other dangerous activities’.</w:t>
      </w:r>
      <w:r w:rsidR="00900FD5">
        <w:rPr>
          <w:rStyle w:val="EndnoteReference"/>
        </w:rPr>
        <w:endnoteReference w:id="35"/>
      </w:r>
      <w:r w:rsidR="007E252A" w:rsidRPr="00D404BC">
        <w:t xml:space="preserve"> Readers may wonder about unconfirmed serious cases – and what classifies as a confirmed non-serious case, but merely receives advice that the ‘potential risk of spreading viral diseases’ such as Creutzfeldt-Jakob Disease</w:t>
      </w:r>
      <w:r w:rsidR="002D6DBB">
        <w:t xml:space="preserve"> (CJD)</w:t>
      </w:r>
      <w:r w:rsidR="007E252A" w:rsidRPr="00D404BC">
        <w:t xml:space="preserve"> via human albumin – present in Botox – is ‘extremely rare’: ‘no cases of viral disease or CJD’ have ‘ever’ been reported ‘in association with human serum albumin’.</w:t>
      </w:r>
      <w:r w:rsidR="00900FD5">
        <w:rPr>
          <w:rStyle w:val="EndnoteReference"/>
        </w:rPr>
        <w:endnoteReference w:id="36"/>
      </w:r>
      <w:r w:rsidR="007E252A" w:rsidRPr="00D404BC">
        <w:t xml:space="preserve"> </w:t>
      </w:r>
      <w:r w:rsidR="00900FD5">
        <w:t>In 2019 the site warned that Botox ‘may cause serious side effects that can be life threatening’ advising that if ‘any of these problems’ is experienced ‘hours to weeks’ after a Botox injection, then medical help should be sought immediately.</w:t>
      </w:r>
      <w:r w:rsidR="00900FD5">
        <w:rPr>
          <w:rStyle w:val="EndnoteReference"/>
        </w:rPr>
        <w:endnoteReference w:id="37"/>
      </w:r>
      <w:r w:rsidR="00900FD5">
        <w:t xml:space="preserve"> The problems listed included those relating to swallowing (which ‘may last for several months</w:t>
      </w:r>
      <w:r w:rsidR="000C6FAE">
        <w:t>’</w:t>
      </w:r>
      <w:r w:rsidR="00900FD5">
        <w:t>), speaking or breathing</w:t>
      </w:r>
      <w:r w:rsidR="000C6FAE">
        <w:t xml:space="preserve">, </w:t>
      </w:r>
      <w:r w:rsidR="00900FD5">
        <w:t xml:space="preserve">attributed to weakening of associated muscles. These ‘can </w:t>
      </w:r>
      <w:r w:rsidR="00900FD5">
        <w:lastRenderedPageBreak/>
        <w:t xml:space="preserve">be severe and result in loss of life’. An additional warning flagged the highest risk as </w:t>
      </w:r>
      <w:r>
        <w:t>present</w:t>
      </w:r>
      <w:r w:rsidR="00900FD5">
        <w:t xml:space="preserve"> if such problems existed prior to injection.</w:t>
      </w:r>
      <w:r w:rsidR="00900FD5">
        <w:rPr>
          <w:rStyle w:val="EndnoteReference"/>
        </w:rPr>
        <w:endnoteReference w:id="38"/>
      </w:r>
      <w:r w:rsidR="00900FD5">
        <w:t xml:space="preserve"> </w:t>
      </w:r>
    </w:p>
    <w:p w14:paraId="31AEDE28" w14:textId="55D5400D" w:rsidR="00BB6464" w:rsidRDefault="005271FE" w:rsidP="006E1FB0">
      <w:pPr>
        <w:spacing w:line="276" w:lineRule="auto"/>
        <w:jc w:val="both"/>
      </w:pPr>
      <w:r>
        <w:t xml:space="preserve">This and other services, treatments and products provided by salons in the pursuit of women </w:t>
      </w:r>
      <w:r w:rsidR="000C6FAE">
        <w:t>chasing</w:t>
      </w:r>
      <w:r>
        <w:t xml:space="preserve"> beauty raises the question of legal liability. What responsibilities devolve upon those providing the products and delivering the services? </w:t>
      </w:r>
      <w:r w:rsidR="00BB6464">
        <w:t xml:space="preserve">Product liability is governed by negligence law and statutory provisions. In the United Kingdom, operating alongside common law negligence, the Consumer Protection Act </w:t>
      </w:r>
      <w:r w:rsidR="00BD253C">
        <w:t xml:space="preserve">(‘the Act’) </w:t>
      </w:r>
      <w:r w:rsidR="00BB6464">
        <w:t xml:space="preserve">covers statutory liability for defective products. Where defective products cause harm </w:t>
      </w:r>
      <w:r w:rsidR="007073F9">
        <w:t>t</w:t>
      </w:r>
      <w:r w:rsidR="00BB6464">
        <w:t xml:space="preserve">o the bodies of those upon whom they are used, the client or patient can sue for compensation. Strict liability is imposed on defective product manufacturers, meaning that there is no need to prove negligence. </w:t>
      </w:r>
      <w:r w:rsidR="00281977">
        <w:t>The onus lies on the patient or client to prove, on the balance of probabilities, that:</w:t>
      </w:r>
    </w:p>
    <w:p w14:paraId="1D37CCF1" w14:textId="127070E6" w:rsidR="00281977" w:rsidRDefault="00281977" w:rsidP="00281977">
      <w:pPr>
        <w:pStyle w:val="ListParagraph"/>
        <w:numPr>
          <w:ilvl w:val="0"/>
          <w:numId w:val="3"/>
        </w:numPr>
        <w:spacing w:line="276" w:lineRule="auto"/>
        <w:jc w:val="both"/>
      </w:pPr>
      <w:r>
        <w:t xml:space="preserve">The product complained of was </w:t>
      </w:r>
      <w:proofErr w:type="gramStart"/>
      <w:r>
        <w:t>defective;  and</w:t>
      </w:r>
      <w:proofErr w:type="gramEnd"/>
    </w:p>
    <w:p w14:paraId="28B27893" w14:textId="76D947F0" w:rsidR="009D4F4C" w:rsidRDefault="00281977" w:rsidP="009D4F4C">
      <w:pPr>
        <w:pStyle w:val="ListParagraph"/>
        <w:numPr>
          <w:ilvl w:val="0"/>
          <w:numId w:val="3"/>
        </w:numPr>
        <w:spacing w:line="276" w:lineRule="auto"/>
        <w:jc w:val="both"/>
      </w:pPr>
      <w:r>
        <w:t xml:space="preserve">The product was the </w:t>
      </w:r>
      <w:r w:rsidR="002F1DE8">
        <w:t xml:space="preserve">most likely cause of the injury of which the client or patient </w:t>
      </w:r>
      <w:r>
        <w:t>complained</w:t>
      </w:r>
      <w:r w:rsidR="002F1DE8">
        <w:t>.</w:t>
      </w:r>
    </w:p>
    <w:p w14:paraId="344FDF99" w14:textId="5F86C730" w:rsidR="00BD253C" w:rsidRDefault="009D4F4C" w:rsidP="009D4F4C">
      <w:pPr>
        <w:spacing w:line="276" w:lineRule="auto"/>
        <w:jc w:val="both"/>
      </w:pPr>
      <w:r>
        <w:t>Action can be taken against the manufacturer of the product or of a component part</w:t>
      </w:r>
      <w:r w:rsidR="007073F9">
        <w:t xml:space="preserve"> of the product </w:t>
      </w:r>
      <w:r>
        <w:t>and/or against any party responsible for any essential characteristic of the product resulting from an industrial or other process.</w:t>
      </w:r>
      <w:r w:rsidR="005221F9">
        <w:t xml:space="preserve"> An injured person can also include, in their action, a</w:t>
      </w:r>
      <w:r w:rsidR="007073F9">
        <w:t xml:space="preserve"> respondent</w:t>
      </w:r>
      <w:r w:rsidR="005221F9">
        <w:t xml:space="preserve"> party </w:t>
      </w:r>
      <w:r w:rsidR="007073F9">
        <w:t xml:space="preserve">with their name or </w:t>
      </w:r>
      <w:proofErr w:type="gramStart"/>
      <w:r w:rsidR="007073F9">
        <w:t>trade mark</w:t>
      </w:r>
      <w:proofErr w:type="gramEnd"/>
      <w:r w:rsidR="007073F9">
        <w:t xml:space="preserve"> </w:t>
      </w:r>
      <w:r w:rsidR="005221F9">
        <w:t>attach</w:t>
      </w:r>
      <w:r w:rsidR="007073F9">
        <w:t>ed</w:t>
      </w:r>
      <w:r w:rsidR="005221F9">
        <w:t xml:space="preserve"> to the product and so holding itself out as the producer</w:t>
      </w:r>
      <w:r w:rsidR="007073F9">
        <w:t xml:space="preserve">. Action is also available against a respondent party who </w:t>
      </w:r>
      <w:r w:rsidR="005221F9">
        <w:t>imported the product into the European Community.</w:t>
      </w:r>
      <w:r w:rsidR="007073F9">
        <w:rPr>
          <w:rStyle w:val="EndnoteReference"/>
        </w:rPr>
        <w:endnoteReference w:id="39"/>
      </w:r>
      <w:r w:rsidR="00BD253C">
        <w:t xml:space="preserve"> As the Act provides, product safety encompasses:</w:t>
      </w:r>
    </w:p>
    <w:p w14:paraId="084BBFB8" w14:textId="77777777" w:rsidR="00BD253C" w:rsidRDefault="00BD253C" w:rsidP="00BD253C">
      <w:pPr>
        <w:pStyle w:val="ListParagraph"/>
        <w:numPr>
          <w:ilvl w:val="0"/>
          <w:numId w:val="4"/>
        </w:numPr>
        <w:spacing w:line="276" w:lineRule="auto"/>
        <w:jc w:val="both"/>
      </w:pPr>
      <w:r>
        <w:t xml:space="preserve">Monitoring the safety of </w:t>
      </w:r>
      <w:proofErr w:type="gramStart"/>
      <w:r>
        <w:t>products;</w:t>
      </w:r>
      <w:proofErr w:type="gramEnd"/>
    </w:p>
    <w:p w14:paraId="49291CEB" w14:textId="77777777" w:rsidR="00BD253C" w:rsidRDefault="00BD253C" w:rsidP="00BD253C">
      <w:pPr>
        <w:pStyle w:val="ListParagraph"/>
        <w:numPr>
          <w:ilvl w:val="0"/>
          <w:numId w:val="4"/>
        </w:numPr>
        <w:spacing w:line="276" w:lineRule="auto"/>
        <w:jc w:val="both"/>
      </w:pPr>
      <w:r>
        <w:t>Providing consumers with information enabling them to understand risks,</w:t>
      </w:r>
    </w:p>
    <w:p w14:paraId="2881C0D3" w14:textId="3EEEA831" w:rsidR="00BD253C" w:rsidRDefault="00BD253C" w:rsidP="00BD253C">
      <w:pPr>
        <w:pStyle w:val="ListParagraph"/>
        <w:numPr>
          <w:ilvl w:val="0"/>
          <w:numId w:val="4"/>
        </w:numPr>
        <w:spacing w:line="276" w:lineRule="auto"/>
        <w:jc w:val="both"/>
      </w:pPr>
      <w:r>
        <w:t xml:space="preserve">Warning consumers of potential </w:t>
      </w:r>
      <w:proofErr w:type="gramStart"/>
      <w:r>
        <w:t>risks;  and</w:t>
      </w:r>
      <w:proofErr w:type="gramEnd"/>
    </w:p>
    <w:p w14:paraId="63BDDF2A" w14:textId="77777777" w:rsidR="00BD253C" w:rsidRDefault="00BD253C" w:rsidP="00BD253C">
      <w:pPr>
        <w:pStyle w:val="ListParagraph"/>
        <w:numPr>
          <w:ilvl w:val="0"/>
          <w:numId w:val="4"/>
        </w:numPr>
        <w:spacing w:line="276" w:lineRule="auto"/>
        <w:jc w:val="both"/>
      </w:pPr>
      <w:proofErr w:type="gramStart"/>
      <w:r>
        <w:t>Taking action</w:t>
      </w:r>
      <w:proofErr w:type="gramEnd"/>
      <w:r>
        <w:t xml:space="preserve"> where a safety problem is detected.</w:t>
      </w:r>
    </w:p>
    <w:p w14:paraId="1E0BF1FA" w14:textId="18FC055F" w:rsidR="00FA5A99" w:rsidRDefault="00BD253C" w:rsidP="00BD253C">
      <w:pPr>
        <w:spacing w:line="276" w:lineRule="auto"/>
        <w:jc w:val="both"/>
      </w:pPr>
      <w:r>
        <w:t xml:space="preserve">A key issue is ‘what is </w:t>
      </w:r>
      <w:r w:rsidR="00D411D8">
        <w:t xml:space="preserve">a </w:t>
      </w:r>
      <w:r>
        <w:t>defect’ or ‘what is defect</w:t>
      </w:r>
      <w:r w:rsidR="00D411D8">
        <w:t>ive</w:t>
      </w:r>
      <w:r>
        <w:t xml:space="preserve">’. In </w:t>
      </w:r>
      <w:r>
        <w:rPr>
          <w:i/>
        </w:rPr>
        <w:t>Wilkes v</w:t>
      </w:r>
      <w:r w:rsidR="0065239F">
        <w:rPr>
          <w:i/>
        </w:rPr>
        <w:t xml:space="preserve"> </w:t>
      </w:r>
      <w:r>
        <w:rPr>
          <w:i/>
        </w:rPr>
        <w:t>DePuy</w:t>
      </w:r>
      <w:r w:rsidR="0065239F">
        <w:rPr>
          <w:rStyle w:val="EndnoteReference"/>
          <w:i/>
        </w:rPr>
        <w:endnoteReference w:id="40"/>
      </w:r>
      <w:r w:rsidR="009D4F4C">
        <w:t xml:space="preserve"> </w:t>
      </w:r>
      <w:r w:rsidR="0065239F">
        <w:t xml:space="preserve">the </w:t>
      </w:r>
      <w:r w:rsidR="00DA188E">
        <w:t xml:space="preserve">court determined the </w:t>
      </w:r>
      <w:r w:rsidR="0065239F">
        <w:t xml:space="preserve">question by reference to an objective test, based on what the public at large are entitled to expect of the product. </w:t>
      </w:r>
      <w:r w:rsidR="00A42FA1">
        <w:t>The case involved</w:t>
      </w:r>
      <w:r w:rsidR="00DD441F">
        <w:t xml:space="preserve"> not a cosmetic or cream or similar beauty product, but</w:t>
      </w:r>
      <w:r w:rsidR="00A42FA1">
        <w:t xml:space="preserve"> a metal hip replacement implanted for mobility (not aesthetic or cosmetic) reasons</w:t>
      </w:r>
      <w:r w:rsidR="00DD441F">
        <w:t>. However</w:t>
      </w:r>
      <w:r w:rsidR="00A42FA1">
        <w:t>, the principle applies to product liability generally</w:t>
      </w:r>
      <w:r w:rsidR="00014154">
        <w:t xml:space="preserve">, including cosmetics, hair and eyelash extensions, false nails and other products of the </w:t>
      </w:r>
      <w:r w:rsidR="00597DDF">
        <w:t xml:space="preserve">hair salon and </w:t>
      </w:r>
      <w:r w:rsidR="00014154">
        <w:t>beauty parlour</w:t>
      </w:r>
      <w:r w:rsidR="00A42FA1">
        <w:t xml:space="preserve">. </w:t>
      </w:r>
    </w:p>
    <w:p w14:paraId="2E28E839" w14:textId="59980BB9" w:rsidR="00AC2457" w:rsidRDefault="00FA5A99" w:rsidP="00BD253C">
      <w:pPr>
        <w:spacing w:line="276" w:lineRule="auto"/>
        <w:jc w:val="both"/>
      </w:pPr>
      <w:r>
        <w:t xml:space="preserve">Suffering from osteoporosis, Mr Wilkes had a </w:t>
      </w:r>
      <w:r w:rsidR="00A42FA1">
        <w:t>C-Stem implant inserted into the hollow of h</w:t>
      </w:r>
      <w:r>
        <w:t>is</w:t>
      </w:r>
      <w:r w:rsidR="00A42FA1">
        <w:t xml:space="preserve"> thighbone</w:t>
      </w:r>
      <w:r>
        <w:t xml:space="preserve">. Some </w:t>
      </w:r>
      <w:r w:rsidR="00A42FA1">
        <w:t xml:space="preserve">three years after the operation, </w:t>
      </w:r>
      <w:r>
        <w:t>the stem fractured</w:t>
      </w:r>
      <w:r w:rsidR="00D411D8">
        <w:t xml:space="preserve">, with some metal debris shed at the joint. </w:t>
      </w:r>
      <w:r w:rsidR="00597DDF">
        <w:t>This required i</w:t>
      </w:r>
      <w:r w:rsidR="00D411D8">
        <w:t>n</w:t>
      </w:r>
      <w:r w:rsidR="00A42FA1">
        <w:t xml:space="preserve">sertion of </w:t>
      </w:r>
      <w:r>
        <w:t>replacement parts</w:t>
      </w:r>
      <w:r w:rsidR="00D411D8">
        <w:t xml:space="preserve">. Five years later, a further fracture </w:t>
      </w:r>
      <w:r w:rsidR="00597DDF">
        <w:t xml:space="preserve">necessitated further </w:t>
      </w:r>
      <w:r w:rsidR="00D411D8">
        <w:t>revision</w:t>
      </w:r>
      <w:r w:rsidR="00597DDF">
        <w:t xml:space="preserve">, sending Mr Wilkes back to the operating theatre, from which he emerged </w:t>
      </w:r>
      <w:r w:rsidR="00D411D8">
        <w:t xml:space="preserve">sporting a </w:t>
      </w:r>
      <w:r w:rsidR="00A42FA1">
        <w:t>replacement model of a different type</w:t>
      </w:r>
      <w:r w:rsidR="003E39D8">
        <w:t xml:space="preserve">. </w:t>
      </w:r>
      <w:r w:rsidR="00597DDF">
        <w:t xml:space="preserve">Mr Wilkes sued </w:t>
      </w:r>
      <w:r w:rsidR="003A21E3">
        <w:t>DePuy International Limited</w:t>
      </w:r>
      <w:r w:rsidR="003E39D8">
        <w:t>, manufacturer of the metal components making up the artificial hip.</w:t>
      </w:r>
    </w:p>
    <w:p w14:paraId="7EA86A15" w14:textId="52AA6EC1" w:rsidR="006D77ED" w:rsidRPr="00FA0C27" w:rsidRDefault="00AC2457" w:rsidP="006D77ED">
      <w:pPr>
        <w:spacing w:line="276" w:lineRule="auto"/>
        <w:jc w:val="both"/>
      </w:pPr>
      <w:r>
        <w:t xml:space="preserve">In assessing how the public’s ‘expectation’ of the product should be measured, </w:t>
      </w:r>
      <w:r w:rsidR="00296B82">
        <w:t xml:space="preserve">the court referred to an earlier case </w:t>
      </w:r>
      <w:r w:rsidR="00296B82">
        <w:rPr>
          <w:i/>
          <w:iCs/>
        </w:rPr>
        <w:t>A v N</w:t>
      </w:r>
      <w:r w:rsidR="00236288">
        <w:rPr>
          <w:i/>
          <w:iCs/>
        </w:rPr>
        <w:t xml:space="preserve">ational </w:t>
      </w:r>
      <w:r w:rsidR="00296B82">
        <w:rPr>
          <w:i/>
          <w:iCs/>
        </w:rPr>
        <w:t>B</w:t>
      </w:r>
      <w:r w:rsidR="00236288">
        <w:rPr>
          <w:i/>
          <w:iCs/>
        </w:rPr>
        <w:t xml:space="preserve">lood </w:t>
      </w:r>
      <w:r w:rsidR="00296B82">
        <w:rPr>
          <w:i/>
          <w:iCs/>
        </w:rPr>
        <w:t>A</w:t>
      </w:r>
      <w:r w:rsidR="00236288">
        <w:rPr>
          <w:i/>
          <w:iCs/>
        </w:rPr>
        <w:t>uthority</w:t>
      </w:r>
      <w:r w:rsidR="00A54993">
        <w:rPr>
          <w:i/>
          <w:iCs/>
        </w:rPr>
        <w:t>.</w:t>
      </w:r>
      <w:r w:rsidR="00296B82">
        <w:rPr>
          <w:rStyle w:val="EndnoteReference"/>
        </w:rPr>
        <w:endnoteReference w:id="41"/>
      </w:r>
      <w:r w:rsidR="00A54993">
        <w:rPr>
          <w:i/>
          <w:iCs/>
        </w:rPr>
        <w:t xml:space="preserve"> </w:t>
      </w:r>
      <w:r w:rsidR="00807325">
        <w:t>The</w:t>
      </w:r>
      <w:r w:rsidR="006D77ED">
        <w:t xml:space="preserve">re it was held that the </w:t>
      </w:r>
      <w:r w:rsidR="00807325">
        <w:t>requirement of safety does not mean ‘an absolute level of safety, nor an absolute liability for any harm caused by a harmful characteristic’.</w:t>
      </w:r>
      <w:r w:rsidR="00807325">
        <w:rPr>
          <w:rStyle w:val="EndnoteReference"/>
        </w:rPr>
        <w:endnoteReference w:id="42"/>
      </w:r>
      <w:r w:rsidR="00807325">
        <w:t xml:space="preserve"> </w:t>
      </w:r>
      <w:r w:rsidR="006D77ED">
        <w:t xml:space="preserve"> Rather, t</w:t>
      </w:r>
      <w:r w:rsidR="00A54993">
        <w:t xml:space="preserve">he question ‘is the safety or the degree or level of safety or safeness which persons generally are entitled to expect’. </w:t>
      </w:r>
      <w:r w:rsidR="006D77ED">
        <w:t>I</w:t>
      </w:r>
      <w:r w:rsidR="00486855">
        <w:t xml:space="preserve">n assessing the question, </w:t>
      </w:r>
      <w:r w:rsidR="006D77ED">
        <w:t xml:space="preserve">that means </w:t>
      </w:r>
      <w:r w:rsidR="00486855">
        <w:t xml:space="preserve">it is the public at large or persons generally whose expectation should be measured, not </w:t>
      </w:r>
      <w:r w:rsidR="006D77ED">
        <w:t xml:space="preserve">that of </w:t>
      </w:r>
      <w:r w:rsidR="00486855">
        <w:t xml:space="preserve">the individual claimant. </w:t>
      </w:r>
      <w:r w:rsidR="006D77ED">
        <w:t xml:space="preserve">This </w:t>
      </w:r>
      <w:r w:rsidR="006D77ED">
        <w:lastRenderedPageBreak/>
        <w:t xml:space="preserve">is particularly relevant to claims involving beauty products, whether cosmetics or breast implants or other prosthetics, </w:t>
      </w:r>
      <w:proofErr w:type="gramStart"/>
      <w:r w:rsidR="006D77ED">
        <w:t>fillers</w:t>
      </w:r>
      <w:proofErr w:type="gramEnd"/>
      <w:r w:rsidR="006D77ED">
        <w:t xml:space="preserve"> or inserts, for individual expectations may be unrealistic, going beyond that of the public at large or persons generally. </w:t>
      </w:r>
    </w:p>
    <w:p w14:paraId="08A9BDF9" w14:textId="1DFA9DA5" w:rsidR="009D4F4C" w:rsidRDefault="00486855" w:rsidP="00BD253C">
      <w:pPr>
        <w:spacing w:line="276" w:lineRule="auto"/>
        <w:jc w:val="both"/>
      </w:pPr>
      <w:r>
        <w:t xml:space="preserve">Furthermore, safety is not measured by what the public at large </w:t>
      </w:r>
      <w:r>
        <w:rPr>
          <w:i/>
          <w:iCs/>
        </w:rPr>
        <w:t>actually</w:t>
      </w:r>
      <w:r>
        <w:t xml:space="preserve"> expect, but what they are </w:t>
      </w:r>
      <w:r>
        <w:rPr>
          <w:i/>
          <w:iCs/>
        </w:rPr>
        <w:t xml:space="preserve">entitled </w:t>
      </w:r>
      <w:r>
        <w:t>to expect.</w:t>
      </w:r>
      <w:r>
        <w:rPr>
          <w:rStyle w:val="EndnoteReference"/>
        </w:rPr>
        <w:endnoteReference w:id="43"/>
      </w:r>
      <w:r w:rsidR="00FA0C27">
        <w:t xml:space="preserve"> </w:t>
      </w:r>
      <w:r w:rsidR="006D77ED">
        <w:t>Summing up this aspect, t</w:t>
      </w:r>
      <w:r w:rsidR="00FA0C27">
        <w:t xml:space="preserve">he court in </w:t>
      </w:r>
      <w:r w:rsidR="00FA0C27">
        <w:rPr>
          <w:i/>
          <w:iCs/>
        </w:rPr>
        <w:t xml:space="preserve">Wilkes v DePuy </w:t>
      </w:r>
      <w:r w:rsidR="00FA0C27">
        <w:t>concluded that in considering whether a product suffered from a defect:</w:t>
      </w:r>
    </w:p>
    <w:p w14:paraId="5D9236AA" w14:textId="060C95FE" w:rsidR="00FA0C27" w:rsidRDefault="00FA0C27" w:rsidP="00FA0C27">
      <w:pPr>
        <w:spacing w:line="276" w:lineRule="auto"/>
        <w:ind w:left="720"/>
        <w:jc w:val="both"/>
      </w:pPr>
      <w:r>
        <w:t xml:space="preserve">… the court must assess the appropriate level of safety, exercising its judgment, and </w:t>
      </w:r>
      <w:proofErr w:type="gramStart"/>
      <w:r>
        <w:t>taking into account</w:t>
      </w:r>
      <w:proofErr w:type="gramEnd"/>
      <w:r>
        <w:t xml:space="preserve"> the information and the circumstances before it, whether or not an actual or notional patient or patient, or indeed other members of the public, would in fact have considered each of those factors and all of that information.</w:t>
      </w:r>
      <w:r>
        <w:rPr>
          <w:rStyle w:val="EndnoteReference"/>
        </w:rPr>
        <w:endnoteReference w:id="44"/>
      </w:r>
    </w:p>
    <w:p w14:paraId="46D41093" w14:textId="67C59915" w:rsidR="00DB59F5" w:rsidRDefault="006D77ED" w:rsidP="006E1FB0">
      <w:pPr>
        <w:spacing w:line="276" w:lineRule="auto"/>
        <w:jc w:val="both"/>
      </w:pPr>
      <w:proofErr w:type="gramStart"/>
      <w:r>
        <w:t>Again</w:t>
      </w:r>
      <w:proofErr w:type="gramEnd"/>
      <w:r>
        <w:t xml:space="preserve"> </w:t>
      </w:r>
      <w:r w:rsidR="00901B7B">
        <w:t xml:space="preserve">where </w:t>
      </w:r>
      <w:r>
        <w:t>beauty product claim</w:t>
      </w:r>
      <w:r w:rsidR="00901B7B">
        <w:t xml:space="preserve">s arise, </w:t>
      </w:r>
      <w:r>
        <w:t>this analysi</w:t>
      </w:r>
      <w:r w:rsidR="00901B7B">
        <w:t>s resonates</w:t>
      </w:r>
      <w:r>
        <w:t xml:space="preserve">, for </w:t>
      </w:r>
      <w:r w:rsidR="00901B7B">
        <w:t xml:space="preserve">client or patient </w:t>
      </w:r>
      <w:r>
        <w:t xml:space="preserve">expectations and wishes of transformation </w:t>
      </w:r>
      <w:r w:rsidR="00901B7B">
        <w:t xml:space="preserve">may be so </w:t>
      </w:r>
      <w:r>
        <w:t xml:space="preserve">high or wilfully exaggerated </w:t>
      </w:r>
      <w:r w:rsidR="00901B7B">
        <w:t xml:space="preserve">as to pass over </w:t>
      </w:r>
      <w:r>
        <w:t xml:space="preserve">proper consideration of information </w:t>
      </w:r>
      <w:r w:rsidR="00901B7B">
        <w:t xml:space="preserve">dispensed </w:t>
      </w:r>
      <w:r>
        <w:t xml:space="preserve">or </w:t>
      </w:r>
      <w:r w:rsidR="00335E08">
        <w:t xml:space="preserve">fail to consider </w:t>
      </w:r>
      <w:r w:rsidR="00901B7B">
        <w:t xml:space="preserve">factors relevant to the </w:t>
      </w:r>
      <w:r w:rsidR="00335E08">
        <w:t xml:space="preserve">product’s </w:t>
      </w:r>
      <w:r w:rsidR="00901B7B">
        <w:t>application</w:t>
      </w:r>
      <w:r>
        <w:t>.</w:t>
      </w:r>
      <w:r w:rsidR="00DB59F5">
        <w:t xml:space="preserve"> </w:t>
      </w:r>
      <w:r w:rsidR="00335E08">
        <w:t xml:space="preserve">Referring to </w:t>
      </w:r>
      <w:r w:rsidR="00335E08">
        <w:rPr>
          <w:i/>
          <w:iCs/>
        </w:rPr>
        <w:t>Wilkes v DePuy</w:t>
      </w:r>
      <w:r w:rsidR="00335E08">
        <w:t>, i</w:t>
      </w:r>
      <w:r w:rsidR="00DB59F5">
        <w:t xml:space="preserve">n </w:t>
      </w:r>
      <w:r w:rsidR="00DB59F5">
        <w:rPr>
          <w:i/>
          <w:iCs/>
        </w:rPr>
        <w:t>A Practical Guide to Cosmetic Surgery Claims</w:t>
      </w:r>
      <w:r w:rsidR="00DB59F5">
        <w:t>,</w:t>
      </w:r>
      <w:r w:rsidR="00CC76BB">
        <w:rPr>
          <w:rStyle w:val="EndnoteReference"/>
        </w:rPr>
        <w:endnoteReference w:id="45"/>
      </w:r>
      <w:r w:rsidR="00DB59F5">
        <w:t xml:space="preserve"> Victoria Handley lists the circumstances </w:t>
      </w:r>
      <w:r w:rsidR="00050B1F">
        <w:t xml:space="preserve">a court will </w:t>
      </w:r>
      <w:proofErr w:type="gramStart"/>
      <w:r w:rsidR="00050B1F">
        <w:t>take into account</w:t>
      </w:r>
      <w:proofErr w:type="gramEnd"/>
      <w:r w:rsidR="00050B1F">
        <w:t xml:space="preserve">, </w:t>
      </w:r>
      <w:r w:rsidR="00DB59F5">
        <w:t>whether or not a claimant</w:t>
      </w:r>
      <w:r w:rsidR="00CC76BB">
        <w:t xml:space="preserve"> </w:t>
      </w:r>
      <w:r w:rsidR="00DB59F5">
        <w:t>considered</w:t>
      </w:r>
      <w:r w:rsidR="00FA3842">
        <w:t xml:space="preserve"> them</w:t>
      </w:r>
      <w:r w:rsidR="00DB59F5">
        <w:t>:</w:t>
      </w:r>
    </w:p>
    <w:p w14:paraId="3B8631E3" w14:textId="766D49D8" w:rsidR="00FA3842" w:rsidRDefault="00FA3842" w:rsidP="00FA3842">
      <w:pPr>
        <w:pStyle w:val="ListParagraph"/>
        <w:numPr>
          <w:ilvl w:val="0"/>
          <w:numId w:val="6"/>
        </w:numPr>
        <w:spacing w:line="276" w:lineRule="auto"/>
        <w:jc w:val="both"/>
      </w:pPr>
      <w:r>
        <w:t xml:space="preserve">All aspects of the marketing of the </w:t>
      </w:r>
      <w:proofErr w:type="gramStart"/>
      <w:r>
        <w:t>product;</w:t>
      </w:r>
      <w:proofErr w:type="gramEnd"/>
    </w:p>
    <w:p w14:paraId="59B6E0D3" w14:textId="72C44968" w:rsidR="00FA3842" w:rsidRDefault="00FA3842" w:rsidP="00FA3842">
      <w:pPr>
        <w:pStyle w:val="ListParagraph"/>
        <w:numPr>
          <w:ilvl w:val="0"/>
          <w:numId w:val="6"/>
        </w:numPr>
        <w:spacing w:line="276" w:lineRule="auto"/>
        <w:jc w:val="both"/>
      </w:pPr>
      <w:r>
        <w:t xml:space="preserve">The use of any mark in relation to the </w:t>
      </w:r>
      <w:proofErr w:type="gramStart"/>
      <w:r>
        <w:t>product;</w:t>
      </w:r>
      <w:proofErr w:type="gramEnd"/>
    </w:p>
    <w:p w14:paraId="687CD7B1" w14:textId="6F410195" w:rsidR="00FA3842" w:rsidRDefault="00FA3842" w:rsidP="00FA3842">
      <w:pPr>
        <w:pStyle w:val="ListParagraph"/>
        <w:numPr>
          <w:ilvl w:val="0"/>
          <w:numId w:val="6"/>
        </w:numPr>
        <w:spacing w:line="276" w:lineRule="auto"/>
        <w:jc w:val="both"/>
      </w:pPr>
      <w:r>
        <w:t xml:space="preserve">Instructions and </w:t>
      </w:r>
      <w:proofErr w:type="gramStart"/>
      <w:r>
        <w:t>warnings;</w:t>
      </w:r>
      <w:proofErr w:type="gramEnd"/>
    </w:p>
    <w:p w14:paraId="74DD7A7D" w14:textId="228EA58E" w:rsidR="00FA3842" w:rsidRDefault="00FA3842" w:rsidP="00FA3842">
      <w:pPr>
        <w:pStyle w:val="ListParagraph"/>
        <w:numPr>
          <w:ilvl w:val="0"/>
          <w:numId w:val="6"/>
        </w:numPr>
        <w:spacing w:line="276" w:lineRule="auto"/>
        <w:jc w:val="both"/>
      </w:pPr>
      <w:r>
        <w:t>What might reasonably be expected to be done with the product at the time the product was supplied.</w:t>
      </w:r>
      <w:r w:rsidR="00866ABB">
        <w:rPr>
          <w:rStyle w:val="EndnoteReference"/>
        </w:rPr>
        <w:endnoteReference w:id="46"/>
      </w:r>
    </w:p>
    <w:p w14:paraId="5571F3C7" w14:textId="434BC930" w:rsidR="00050B1F" w:rsidRDefault="00050B1F" w:rsidP="00050B1F">
      <w:pPr>
        <w:spacing w:line="276" w:lineRule="auto"/>
        <w:jc w:val="both"/>
      </w:pPr>
      <w:r>
        <w:t>If damage suffered by the client or patient is caused in whole or in part by the defect, then the produce’s producer is liable. She or he is obliged to prove there is a causal link between the damage and the product defect, but is not obliged to prove what caused the lack of safety or why the product failed.</w:t>
      </w:r>
      <w:r>
        <w:rPr>
          <w:rStyle w:val="EndnoteReference"/>
        </w:rPr>
        <w:endnoteReference w:id="47"/>
      </w:r>
      <w:r>
        <w:t xml:space="preserve"> But what must be borne in mind, as the court in </w:t>
      </w:r>
      <w:r>
        <w:rPr>
          <w:i/>
          <w:iCs/>
        </w:rPr>
        <w:t>Ide v ATB Sales Limited</w:t>
      </w:r>
      <w:r>
        <w:rPr>
          <w:rStyle w:val="EndnoteReference"/>
          <w:i/>
          <w:iCs/>
        </w:rPr>
        <w:endnoteReference w:id="48"/>
      </w:r>
      <w:r>
        <w:t xml:space="preserve"> </w:t>
      </w:r>
      <w:r w:rsidR="00C0148F">
        <w:t xml:space="preserve">pointed out, </w:t>
      </w:r>
      <w:r>
        <w:t>is that</w:t>
      </w:r>
      <w:r w:rsidR="00C0148F">
        <w:t xml:space="preserve"> no medicinal product, ‘if effective, can be absolutely safe’.</w:t>
      </w:r>
      <w:r>
        <w:t xml:space="preserve"> </w:t>
      </w:r>
      <w:r w:rsidR="00C0148F">
        <w:t>This applies, too, to cosmetics and beauty treatments generally</w:t>
      </w:r>
      <w:r w:rsidR="00D04659">
        <w:t>, and each case must be considered on its own merits.</w:t>
      </w:r>
    </w:p>
    <w:p w14:paraId="702B9AC8" w14:textId="67C4765E" w:rsidR="00917DAA" w:rsidRDefault="00D04659" w:rsidP="00050B1F">
      <w:pPr>
        <w:spacing w:line="276" w:lineRule="auto"/>
        <w:jc w:val="both"/>
      </w:pPr>
      <w:r>
        <w:t xml:space="preserve">Claimants must remember that time limits apply to claims under the Consumer Protection Act. </w:t>
      </w:r>
      <w:proofErr w:type="gramStart"/>
      <w:r>
        <w:t>This  means</w:t>
      </w:r>
      <w:proofErr w:type="gramEnd"/>
      <w:r>
        <w:t xml:space="preserve"> that if action is not launched within the time limit running from when the damage occurred or when the client or patient became aware of the damage, then the claim will be dismissed automatically. </w:t>
      </w:r>
      <w:r w:rsidR="0049152D">
        <w:t xml:space="preserve"> Some cosmetic surgery or even beauty treatments may not show immediate damage, coming to light years after the application of a particular product. This may apply, for example, with breast implants and liposuction, where ruptures </w:t>
      </w:r>
      <w:r w:rsidR="00A87E8A">
        <w:t>or circulation of fat deposits to other parts of the body may occur long after the patient or client has left the surgery or salon.</w:t>
      </w:r>
      <w:r w:rsidR="00917DAA">
        <w:t xml:space="preserve"> </w:t>
      </w:r>
      <w:r w:rsidR="00A87E8A">
        <w:t xml:space="preserve"> </w:t>
      </w:r>
      <w:r w:rsidR="00917DAA">
        <w:t>In this case, to come within the three</w:t>
      </w:r>
      <w:r w:rsidR="004A3184">
        <w:t>-</w:t>
      </w:r>
      <w:r w:rsidR="00917DAA">
        <w:t xml:space="preserve">year limitation period the argument </w:t>
      </w:r>
      <w:proofErr w:type="gramStart"/>
      <w:r w:rsidR="00917DAA">
        <w:t>has to</w:t>
      </w:r>
      <w:proofErr w:type="gramEnd"/>
      <w:r w:rsidR="00917DAA">
        <w:t xml:space="preserve"> be made that action was taken immediately the damage came to light, or within three years after it did so. The </w:t>
      </w:r>
      <w:proofErr w:type="gramStart"/>
      <w:r w:rsidR="00917DAA">
        <w:t>three year</w:t>
      </w:r>
      <w:proofErr w:type="gramEnd"/>
      <w:r w:rsidR="00917DAA">
        <w:t xml:space="preserve"> limitation can run from that date, rather than the date of the operation or procedure itself. </w:t>
      </w:r>
    </w:p>
    <w:p w14:paraId="1755C1F6" w14:textId="2CD8BB8A" w:rsidR="004A3184" w:rsidRDefault="00A87E8A" w:rsidP="00050B1F">
      <w:pPr>
        <w:spacing w:line="276" w:lineRule="auto"/>
        <w:jc w:val="both"/>
      </w:pPr>
      <w:r>
        <w:t xml:space="preserve">Defences of </w:t>
      </w:r>
      <w:proofErr w:type="spellStart"/>
      <w:r>
        <w:t>volenti</w:t>
      </w:r>
      <w:proofErr w:type="spellEnd"/>
      <w:r>
        <w:t xml:space="preserve"> non fit injuria </w:t>
      </w:r>
      <w:r w:rsidR="004A3184">
        <w:t xml:space="preserve">and contributory negligence </w:t>
      </w:r>
      <w:r>
        <w:t>are p</w:t>
      </w:r>
      <w:r w:rsidR="00F95542">
        <w:t>articularly cogent in claims relating to cosmetic and beauty treatments</w:t>
      </w:r>
      <w:r w:rsidR="000633C6">
        <w:t>.</w:t>
      </w:r>
      <w:r>
        <w:t xml:space="preserve"> </w:t>
      </w:r>
      <w:r w:rsidR="004A3184">
        <w:t xml:space="preserve">Translated from the Latin, </w:t>
      </w:r>
      <w:proofErr w:type="spellStart"/>
      <w:r w:rsidR="004A3184">
        <w:t>volenti</w:t>
      </w:r>
      <w:proofErr w:type="spellEnd"/>
      <w:r w:rsidR="004A3184">
        <w:t xml:space="preserve"> non fit injuria means ‘to a willing person, injury is not done’. Theorists insisting that women undergoing aesthetic, cosmetic or plastic surgery and other procedures said to enhance the body are acting entirely in accordance with the principle of agency should be mindful that in so doing they may well be acting against women’s </w:t>
      </w:r>
      <w:r w:rsidR="004A3184">
        <w:lastRenderedPageBreak/>
        <w:t>interests.</w:t>
      </w:r>
      <w:r w:rsidR="000633C6">
        <w:t xml:space="preserve"> If a woman is seen as entirely willing, exercising her agency untrammelled by social strictures, cultural values, advertising, peer pressure, celebrity tales, images of women immediately recovering their pre-baby bodies seemingly without difficulty, even magically … her chances of recovering compensation for real damage, real harm to her body will be not only negligible, but entirely negated.</w:t>
      </w:r>
    </w:p>
    <w:p w14:paraId="7B512741" w14:textId="77777777" w:rsidR="004A3184" w:rsidRDefault="004A3184" w:rsidP="00050B1F">
      <w:pPr>
        <w:spacing w:line="276" w:lineRule="auto"/>
        <w:jc w:val="both"/>
      </w:pPr>
    </w:p>
    <w:p w14:paraId="16D16EAB" w14:textId="77777777" w:rsidR="004A3184" w:rsidRDefault="004A3184" w:rsidP="00050B1F">
      <w:pPr>
        <w:spacing w:line="276" w:lineRule="auto"/>
        <w:jc w:val="both"/>
      </w:pPr>
    </w:p>
    <w:p w14:paraId="42F8E4E7" w14:textId="61E3B4FA" w:rsidR="004A3184" w:rsidRDefault="004A3184" w:rsidP="00050B1F">
      <w:pPr>
        <w:spacing w:line="276" w:lineRule="auto"/>
        <w:jc w:val="both"/>
      </w:pPr>
      <w:r>
        <w:rPr>
          <w:rFonts w:ascii="Arial" w:hAnsi="Arial" w:cs="Arial"/>
          <w:sz w:val="20"/>
          <w:szCs w:val="20"/>
          <w:lang w:val="en"/>
        </w:rPr>
        <w:t>"</w:t>
      </w:r>
      <w:proofErr w:type="gramStart"/>
      <w:r>
        <w:rPr>
          <w:rFonts w:ascii="Arial" w:hAnsi="Arial" w:cs="Arial"/>
          <w:sz w:val="20"/>
          <w:szCs w:val="20"/>
          <w:lang w:val="en"/>
        </w:rPr>
        <w:t>to</w:t>
      </w:r>
      <w:proofErr w:type="gramEnd"/>
      <w:r>
        <w:rPr>
          <w:rFonts w:ascii="Arial" w:hAnsi="Arial" w:cs="Arial"/>
          <w:sz w:val="20"/>
          <w:szCs w:val="20"/>
          <w:lang w:val="en"/>
        </w:rPr>
        <w:t xml:space="preserve"> a willing person, injury is not done")</w:t>
      </w:r>
    </w:p>
    <w:p w14:paraId="05E7D15A" w14:textId="7B8F4938" w:rsidR="00917DAA" w:rsidRDefault="007A16D1" w:rsidP="00050B1F">
      <w:pPr>
        <w:spacing w:line="276" w:lineRule="auto"/>
        <w:jc w:val="both"/>
      </w:pPr>
      <w:r>
        <w:t>An example of t</w:t>
      </w:r>
      <w:r w:rsidR="00F95542">
        <w:t xml:space="preserve">he first </w:t>
      </w:r>
      <w:r>
        <w:t xml:space="preserve">occurs where </w:t>
      </w:r>
      <w:r w:rsidR="00F95542">
        <w:t>the product is</w:t>
      </w:r>
      <w:r>
        <w:t xml:space="preserve"> </w:t>
      </w:r>
      <w:r w:rsidR="00F95542">
        <w:t>used at home and</w:t>
      </w:r>
      <w:r w:rsidR="00A87E8A">
        <w:t xml:space="preserve"> </w:t>
      </w:r>
      <w:r w:rsidR="00F95542">
        <w:t>some misstep in its application is made, contributing to the damage.</w:t>
      </w:r>
      <w:r w:rsidR="00917DAA">
        <w:t xml:space="preserve"> The person using the product without regard to the instructions who suffers damage could then be seen as having some responsibility for contributing to the harm.  Any claim for compensation will be cut down accordingly. T</w:t>
      </w:r>
      <w:r w:rsidR="00F95542">
        <w:t xml:space="preserve">he second encompasses the willing acceptance of risk – which may well apply to clients eager to transform their body or some feature of it. </w:t>
      </w:r>
      <w:r w:rsidR="00917DAA">
        <w:t xml:space="preserve">The literal translation of the Latin is ‘to a willing person, injury is not done’. Theorists who argue that women exercise agency in undergoing aesthetic, cosmetic and plastic surgery, even when it is known to be risky – even highly risky – need to be aware that they are advocating for complete responsibility where women are harmed or even seriously damaged by the procedures to which they submit. </w:t>
      </w:r>
      <w:r w:rsidR="00020BB2">
        <w:t xml:space="preserve">Their argument undercuts the legal rights of women to compensation for harm and damage. </w:t>
      </w:r>
      <w:r w:rsidR="00917DAA">
        <w:t xml:space="preserve">  </w:t>
      </w:r>
    </w:p>
    <w:p w14:paraId="2265220B" w14:textId="692752D3" w:rsidR="007E252A" w:rsidRPr="00D404BC" w:rsidRDefault="00020BB2" w:rsidP="006E1FB0">
      <w:pPr>
        <w:spacing w:line="276" w:lineRule="auto"/>
        <w:jc w:val="both"/>
      </w:pPr>
      <w:r>
        <w:t xml:space="preserve">Other defences include the argument that the product was ‘defective’ by reason of its having been required to comply with a legal requirement, or that the product is not genuine, but a copy of the manufacturer’s own product. </w:t>
      </w:r>
      <w:r w:rsidR="002B460B">
        <w:t>Just as copying is a feature of the fashion industry, it can be prevalent in the pharmaceutical and cosmetic industries.</w:t>
      </w:r>
      <w:r w:rsidR="003D6E8C">
        <w:rPr>
          <w:rStyle w:val="EndnoteReference"/>
        </w:rPr>
        <w:endnoteReference w:id="49"/>
      </w:r>
      <w:r w:rsidR="0065685A">
        <w:t xml:space="preserve"> Yet not only copying is a problem. ‘Puffing’ through false or exaggerated advertising of a manufacturer’s own products can persuade women that their hopes for a new life through bodily transformation can be realised. </w:t>
      </w:r>
      <w:r w:rsidR="005271FE">
        <w:t xml:space="preserve">What about representations or misrepresentations made to women undergoing treatments or procedures delivered to beautify. What of client autonomy and issues of consent? These issues </w:t>
      </w:r>
      <w:r w:rsidR="007769DE">
        <w:t xml:space="preserve">arise not only in the beauty parlour, but in the clinic, the </w:t>
      </w:r>
      <w:proofErr w:type="gramStart"/>
      <w:r w:rsidR="007769DE">
        <w:t>surgery</w:t>
      </w:r>
      <w:proofErr w:type="gramEnd"/>
      <w:r w:rsidR="007769DE">
        <w:t xml:space="preserve"> and the hospital setting. </w:t>
      </w:r>
    </w:p>
    <w:p w14:paraId="58B41C63" w14:textId="435E7EB3" w:rsidR="00E62729" w:rsidRDefault="00E62729" w:rsidP="009725B9">
      <w:pPr>
        <w:jc w:val="both"/>
        <w:rPr>
          <w:b/>
          <w:bCs/>
        </w:rPr>
      </w:pPr>
      <w:r w:rsidRPr="001C71DC">
        <w:t>2</w:t>
      </w:r>
      <w:r w:rsidR="001C71DC" w:rsidRPr="001C71DC">
        <w:t>.</w:t>
      </w:r>
      <w:r w:rsidRPr="00D404BC">
        <w:rPr>
          <w:b/>
          <w:bCs/>
        </w:rPr>
        <w:tab/>
        <w:t xml:space="preserve">The Body on the Operating Table </w:t>
      </w:r>
    </w:p>
    <w:p w14:paraId="6885A753" w14:textId="06EE1366" w:rsidR="00F732EE" w:rsidRDefault="0081685A" w:rsidP="00116E0A">
      <w:pPr>
        <w:spacing w:line="276" w:lineRule="auto"/>
        <w:jc w:val="both"/>
      </w:pPr>
      <w:r>
        <w:t xml:space="preserve">Consent is at the heart of bodily touching, whether it’s a question of medically required treatment, cosmetic </w:t>
      </w:r>
      <w:proofErr w:type="gramStart"/>
      <w:r>
        <w:t>enhancement</w:t>
      </w:r>
      <w:proofErr w:type="gramEnd"/>
      <w:r>
        <w:t xml:space="preserve"> or surgical augmentation.</w:t>
      </w:r>
      <w:r w:rsidR="00FE3591">
        <w:t xml:space="preserve"> Various levels of assault and battery apply to Intentional touching of another person’s body without consent. The reason surgeons and other medical practitioners </w:t>
      </w:r>
      <w:r w:rsidR="006C19B0">
        <w:t>can</w:t>
      </w:r>
      <w:r w:rsidR="00FE3591">
        <w:t xml:space="preserve"> carry out their work legally is that the touching – whether causing damage such as bruising, </w:t>
      </w:r>
      <w:proofErr w:type="gramStart"/>
      <w:r w:rsidR="00FE3591">
        <w:t>wounding</w:t>
      </w:r>
      <w:proofErr w:type="gramEnd"/>
      <w:r w:rsidR="00FE3591">
        <w:t xml:space="preserve"> or serious or grievous bodily harm – is consented to by the patient or patient’s parent, guardian or other </w:t>
      </w:r>
      <w:r w:rsidR="006C19B0">
        <w:t>appropriate</w:t>
      </w:r>
      <w:r w:rsidR="00FE3591">
        <w:t xml:space="preserve"> person, and it is for the patient’s benefit. For those whose work requires it, including cosmetologists, hairdressers, beauty specialists, manicurists, podiatrists, pedicurists, eyebrow threaders and </w:t>
      </w:r>
      <w:proofErr w:type="spellStart"/>
      <w:r w:rsidR="00FE3591">
        <w:t>microbladers</w:t>
      </w:r>
      <w:proofErr w:type="spellEnd"/>
      <w:r w:rsidR="00FE3591">
        <w:t xml:space="preserve">, waxers and razorblade </w:t>
      </w:r>
      <w:r w:rsidR="006C19B0">
        <w:t>wielders</w:t>
      </w:r>
      <w:r w:rsidR="00FE3591">
        <w:t xml:space="preserve">, </w:t>
      </w:r>
      <w:r w:rsidR="00F8122B">
        <w:t xml:space="preserve">therapists and the like, the same principles apply. Similarly with </w:t>
      </w:r>
      <w:r w:rsidR="00F70840">
        <w:t xml:space="preserve">licenced </w:t>
      </w:r>
      <w:r w:rsidR="006C19B0">
        <w:t>tattooists</w:t>
      </w:r>
      <w:r w:rsidR="00F8122B">
        <w:t xml:space="preserve"> and body artists, although ‘extreme body art’ is a problematic field.</w:t>
      </w:r>
      <w:r w:rsidR="00F8122B">
        <w:rPr>
          <w:rStyle w:val="EndnoteReference"/>
        </w:rPr>
        <w:endnoteReference w:id="50"/>
      </w:r>
      <w:r w:rsidR="00FE3591">
        <w:t xml:space="preserve"> </w:t>
      </w:r>
      <w:r w:rsidR="0096160C">
        <w:t xml:space="preserve">The second question is the standard of care that is to be expected from the practitioner. </w:t>
      </w:r>
    </w:p>
    <w:p w14:paraId="3190DD04" w14:textId="77777777" w:rsidR="00B27986" w:rsidRDefault="00B27986" w:rsidP="00116E0A">
      <w:pPr>
        <w:spacing w:line="276" w:lineRule="auto"/>
        <w:jc w:val="both"/>
      </w:pPr>
      <w:r>
        <w:t xml:space="preserve">When medical operations go wrong, questions arise as to the professionalism of the practitioner and the care they have taken not only in conducting the operation but in discussion with the patient. This </w:t>
      </w:r>
      <w:r>
        <w:lastRenderedPageBreak/>
        <w:t xml:space="preserve">includes the issue of risk and information conveyed to the patient. How much risk and explanation of it is required to be given by doctor to patient so that the patient’s consent qualifies as ‘informed’ at a level sufficient to satisfy the courts? In cases of negligence, brought by patients who, having been operated on, are dissatisfied with the outcome, courts grapple with paternalism, autonomy, medical </w:t>
      </w:r>
      <w:proofErr w:type="gramStart"/>
      <w:r>
        <w:t>knowledge</w:t>
      </w:r>
      <w:proofErr w:type="gramEnd"/>
      <w:r>
        <w:t xml:space="preserve"> and expertise. The principal legal cases addressing these questions and setting down the principles do not involve plastic surgery or cosmetic procedures. However, because they set the standards, these cases are key in determining whether a plastic surgeon or cosmetic specialist is likely to be held liable when injury or harm occur, or when patient dissatisfaction surfaces.</w:t>
      </w:r>
    </w:p>
    <w:p w14:paraId="1D7BBE64" w14:textId="3AE421DB" w:rsidR="00B27986" w:rsidRDefault="00B27986" w:rsidP="00116E0A">
      <w:pPr>
        <w:spacing w:line="276" w:lineRule="auto"/>
        <w:jc w:val="both"/>
      </w:pPr>
      <w:r>
        <w:t xml:space="preserve">A United States case </w:t>
      </w:r>
      <w:r w:rsidR="000C6FAE">
        <w:t>fixes</w:t>
      </w:r>
      <w:r>
        <w:t xml:space="preserve"> the cardinal principle of medical treatment. In 1914, in </w:t>
      </w:r>
      <w:proofErr w:type="spellStart"/>
      <w:r>
        <w:rPr>
          <w:i/>
          <w:iCs/>
        </w:rPr>
        <w:t>Schloendorff</w:t>
      </w:r>
      <w:proofErr w:type="spellEnd"/>
      <w:r>
        <w:rPr>
          <w:i/>
          <w:iCs/>
        </w:rPr>
        <w:t xml:space="preserve"> v Society of New York Hospital</w:t>
      </w:r>
      <w:r>
        <w:t>, Justice Cardozo said that every human being ‘of adult years and sound mind’:</w:t>
      </w:r>
    </w:p>
    <w:p w14:paraId="2F43D74C" w14:textId="77777777" w:rsidR="00B27986" w:rsidRPr="0081685A" w:rsidRDefault="00B27986" w:rsidP="000F2326">
      <w:pPr>
        <w:spacing w:line="276" w:lineRule="auto"/>
        <w:ind w:left="720"/>
        <w:jc w:val="both"/>
      </w:pPr>
      <w:r>
        <w:t xml:space="preserve">… has a right to determine what shall be done with his own </w:t>
      </w:r>
      <w:proofErr w:type="gramStart"/>
      <w:r>
        <w:t>body;  and</w:t>
      </w:r>
      <w:proofErr w:type="gramEnd"/>
      <w:r>
        <w:t xml:space="preserve"> a surgeon who performs and operation without the patient’s consent commits an assault.</w:t>
      </w:r>
      <w:r>
        <w:rPr>
          <w:rStyle w:val="EndnoteReference"/>
        </w:rPr>
        <w:endnoteReference w:id="51"/>
      </w:r>
      <w:r>
        <w:t xml:space="preserve">                                               </w:t>
      </w:r>
    </w:p>
    <w:p w14:paraId="58A757B3" w14:textId="6A1E56E1" w:rsidR="00B27986" w:rsidRDefault="00B27986" w:rsidP="000F2326">
      <w:pPr>
        <w:spacing w:after="0" w:line="276" w:lineRule="auto"/>
        <w:jc w:val="both"/>
        <w:rPr>
          <w:rFonts w:cs="Segoe UI"/>
          <w:color w:val="212529"/>
          <w:lang w:val="en"/>
        </w:rPr>
      </w:pPr>
      <w:r>
        <w:rPr>
          <w:rFonts w:cs="Segoe UI"/>
          <w:color w:val="212529"/>
          <w:lang w:val="en"/>
        </w:rPr>
        <w:t xml:space="preserve">This principle </w:t>
      </w:r>
      <w:r w:rsidR="00F70840">
        <w:rPr>
          <w:rFonts w:cs="Segoe UI"/>
          <w:color w:val="212529"/>
          <w:lang w:val="en"/>
        </w:rPr>
        <w:t xml:space="preserve">or its equivalent </w:t>
      </w:r>
      <w:r>
        <w:rPr>
          <w:rFonts w:cs="Segoe UI"/>
          <w:color w:val="212529"/>
          <w:lang w:val="en"/>
        </w:rPr>
        <w:t xml:space="preserve">is followed in the United Kingdom and other common law countries like Canada, </w:t>
      </w:r>
      <w:proofErr w:type="gramStart"/>
      <w:r>
        <w:rPr>
          <w:rFonts w:cs="Segoe UI"/>
          <w:color w:val="212529"/>
          <w:lang w:val="en"/>
        </w:rPr>
        <w:t>Australia</w:t>
      </w:r>
      <w:proofErr w:type="gramEnd"/>
      <w:r>
        <w:rPr>
          <w:rFonts w:cs="Segoe UI"/>
          <w:color w:val="212529"/>
          <w:lang w:val="en"/>
        </w:rPr>
        <w:t xml:space="preserve"> and Aotearoa/New Zealand. But when Justice Cardozo talks of ‘consent’ what is </w:t>
      </w:r>
      <w:proofErr w:type="gramStart"/>
      <w:r>
        <w:rPr>
          <w:rFonts w:cs="Segoe UI"/>
          <w:color w:val="212529"/>
          <w:lang w:val="en"/>
        </w:rPr>
        <w:t>actually meant</w:t>
      </w:r>
      <w:proofErr w:type="gramEnd"/>
      <w:r>
        <w:rPr>
          <w:rFonts w:cs="Segoe UI"/>
          <w:color w:val="212529"/>
          <w:lang w:val="en"/>
        </w:rPr>
        <w:t xml:space="preserve">? The notion of ‘informed consent’ </w:t>
      </w:r>
      <w:r w:rsidR="000C6FAE">
        <w:rPr>
          <w:rFonts w:cs="Segoe UI"/>
          <w:color w:val="212529"/>
          <w:lang w:val="en"/>
        </w:rPr>
        <w:t>emerges</w:t>
      </w:r>
      <w:r w:rsidR="00F70840">
        <w:rPr>
          <w:rFonts w:cs="Segoe UI"/>
          <w:color w:val="212529"/>
          <w:lang w:val="en"/>
        </w:rPr>
        <w:t xml:space="preserve"> into the surgery and operating theatre, </w:t>
      </w:r>
      <w:proofErr w:type="gramStart"/>
      <w:r w:rsidR="00F70840">
        <w:rPr>
          <w:rFonts w:cs="Segoe UI"/>
          <w:color w:val="212529"/>
          <w:lang w:val="en"/>
        </w:rPr>
        <w:t>spa</w:t>
      </w:r>
      <w:proofErr w:type="gramEnd"/>
      <w:r w:rsidR="00F70840">
        <w:rPr>
          <w:rFonts w:cs="Segoe UI"/>
          <w:color w:val="212529"/>
          <w:lang w:val="en"/>
        </w:rPr>
        <w:t xml:space="preserve"> and salon, and thence, when ‘things go wrong’, into the courtroom</w:t>
      </w:r>
      <w:r>
        <w:rPr>
          <w:rFonts w:cs="Segoe UI"/>
          <w:color w:val="212529"/>
          <w:lang w:val="en"/>
        </w:rPr>
        <w:t xml:space="preserve">. Considered on the most basic level, when a patient makes an appointment with a doctor and attends at the surgery to present the doctor with their concerns, the assumption arises that the patient has come for a discussion and potentially an examination. If the examination is routine, say a blood pressure test or taking blood for tests to be conducted by a pathologist, the assumption </w:t>
      </w:r>
      <w:r w:rsidR="000C6FAE">
        <w:rPr>
          <w:rFonts w:cs="Segoe UI"/>
          <w:color w:val="212529"/>
          <w:lang w:val="en"/>
        </w:rPr>
        <w:t xml:space="preserve">is </w:t>
      </w:r>
      <w:r>
        <w:rPr>
          <w:rFonts w:cs="Segoe UI"/>
          <w:color w:val="212529"/>
          <w:lang w:val="en"/>
        </w:rPr>
        <w:t xml:space="preserve">generally </w:t>
      </w:r>
      <w:r w:rsidR="000C6FAE">
        <w:rPr>
          <w:rFonts w:cs="Segoe UI"/>
          <w:color w:val="212529"/>
          <w:lang w:val="en"/>
        </w:rPr>
        <w:t>t</w:t>
      </w:r>
      <w:r>
        <w:rPr>
          <w:rFonts w:cs="Segoe UI"/>
          <w:color w:val="212529"/>
          <w:lang w:val="en"/>
        </w:rPr>
        <w:t>hat the patient give</w:t>
      </w:r>
      <w:r w:rsidR="00F70840">
        <w:rPr>
          <w:rFonts w:cs="Segoe UI"/>
          <w:color w:val="212529"/>
          <w:lang w:val="en"/>
        </w:rPr>
        <w:t>s</w:t>
      </w:r>
      <w:r>
        <w:rPr>
          <w:rFonts w:cs="Segoe UI"/>
          <w:color w:val="212529"/>
          <w:lang w:val="en"/>
        </w:rPr>
        <w:t xml:space="preserve"> an implied consent.</w:t>
      </w:r>
      <w:r w:rsidR="000C6FAE">
        <w:rPr>
          <w:rFonts w:cs="Segoe UI"/>
          <w:color w:val="212529"/>
          <w:lang w:val="en"/>
        </w:rPr>
        <w:t xml:space="preserve"> T</w:t>
      </w:r>
      <w:r>
        <w:rPr>
          <w:rFonts w:cs="Segoe UI"/>
          <w:color w:val="212529"/>
          <w:lang w:val="en"/>
        </w:rPr>
        <w:t>he practitioner (nurse or doctor) take</w:t>
      </w:r>
      <w:r w:rsidR="00F70840">
        <w:rPr>
          <w:rFonts w:cs="Segoe UI"/>
          <w:color w:val="212529"/>
          <w:lang w:val="en"/>
        </w:rPr>
        <w:t>s</w:t>
      </w:r>
      <w:r>
        <w:rPr>
          <w:rFonts w:cs="Segoe UI"/>
          <w:color w:val="212529"/>
          <w:lang w:val="en"/>
        </w:rPr>
        <w:t xml:space="preserve"> out the blood pressure equipment </w:t>
      </w:r>
      <w:r w:rsidR="00F70840">
        <w:rPr>
          <w:rFonts w:cs="Segoe UI"/>
          <w:color w:val="212529"/>
          <w:lang w:val="en"/>
        </w:rPr>
        <w:t xml:space="preserve">when asking </w:t>
      </w:r>
      <w:r>
        <w:rPr>
          <w:rFonts w:cs="Segoe UI"/>
          <w:color w:val="212529"/>
          <w:lang w:val="en"/>
        </w:rPr>
        <w:t xml:space="preserve">the patient to roll up </w:t>
      </w:r>
      <w:r w:rsidR="000C6FAE">
        <w:rPr>
          <w:rFonts w:cs="Segoe UI"/>
          <w:color w:val="212529"/>
          <w:lang w:val="en"/>
        </w:rPr>
        <w:t xml:space="preserve">a </w:t>
      </w:r>
      <w:r>
        <w:rPr>
          <w:rFonts w:cs="Segoe UI"/>
          <w:color w:val="212529"/>
          <w:lang w:val="en"/>
        </w:rPr>
        <w:t xml:space="preserve">sleeve or remove a jacket or shirt to ensure that the band </w:t>
      </w:r>
      <w:r w:rsidR="000C6FAE">
        <w:rPr>
          <w:rFonts w:cs="Segoe UI"/>
          <w:color w:val="212529"/>
          <w:lang w:val="en"/>
        </w:rPr>
        <w:t xml:space="preserve">is </w:t>
      </w:r>
      <w:r>
        <w:rPr>
          <w:rFonts w:cs="Segoe UI"/>
          <w:color w:val="212529"/>
          <w:lang w:val="en"/>
        </w:rPr>
        <w:t xml:space="preserve">wrapped firmly around the upper arm. </w:t>
      </w:r>
      <w:r w:rsidR="000C6FAE">
        <w:rPr>
          <w:rFonts w:cs="Segoe UI"/>
          <w:color w:val="212529"/>
          <w:lang w:val="en"/>
        </w:rPr>
        <w:t>I</w:t>
      </w:r>
      <w:r>
        <w:rPr>
          <w:rFonts w:cs="Segoe UI"/>
          <w:color w:val="212529"/>
          <w:lang w:val="en"/>
        </w:rPr>
        <w:t>nserting a needle to extract blood, the practitioner warn</w:t>
      </w:r>
      <w:r w:rsidR="000C6FAE">
        <w:rPr>
          <w:rFonts w:cs="Segoe UI"/>
          <w:color w:val="212529"/>
          <w:lang w:val="en"/>
        </w:rPr>
        <w:t>s</w:t>
      </w:r>
      <w:r>
        <w:rPr>
          <w:rFonts w:cs="Segoe UI"/>
          <w:color w:val="212529"/>
          <w:lang w:val="en"/>
        </w:rPr>
        <w:t xml:space="preserve"> ‘it may sting’ or ‘hurt’ and the patient can withdraw, but generally the needle go</w:t>
      </w:r>
      <w:r w:rsidR="000C6FAE">
        <w:rPr>
          <w:rFonts w:cs="Segoe UI"/>
          <w:color w:val="212529"/>
          <w:lang w:val="en"/>
        </w:rPr>
        <w:t>es</w:t>
      </w:r>
      <w:r>
        <w:rPr>
          <w:rFonts w:cs="Segoe UI"/>
          <w:color w:val="212529"/>
          <w:lang w:val="en"/>
        </w:rPr>
        <w:t xml:space="preserve"> in, the blood </w:t>
      </w:r>
      <w:r w:rsidR="000C6FAE">
        <w:rPr>
          <w:rFonts w:cs="Segoe UI"/>
          <w:color w:val="212529"/>
          <w:lang w:val="en"/>
        </w:rPr>
        <w:t xml:space="preserve">is </w:t>
      </w:r>
      <w:r>
        <w:rPr>
          <w:rFonts w:cs="Segoe UI"/>
          <w:color w:val="212529"/>
          <w:lang w:val="en"/>
        </w:rPr>
        <w:t xml:space="preserve">taken, a plaster </w:t>
      </w:r>
      <w:r w:rsidR="000C6FAE">
        <w:rPr>
          <w:rFonts w:cs="Segoe UI"/>
          <w:color w:val="212529"/>
          <w:lang w:val="en"/>
        </w:rPr>
        <w:t xml:space="preserve">is </w:t>
      </w:r>
      <w:r>
        <w:rPr>
          <w:rFonts w:cs="Segoe UI"/>
          <w:color w:val="212529"/>
          <w:lang w:val="en"/>
        </w:rPr>
        <w:t>affixed to the spot of needle entry and the patient depart</w:t>
      </w:r>
      <w:r w:rsidR="000C6FAE">
        <w:rPr>
          <w:rFonts w:cs="Segoe UI"/>
          <w:color w:val="212529"/>
          <w:lang w:val="en"/>
        </w:rPr>
        <w:t>s</w:t>
      </w:r>
      <w:r>
        <w:rPr>
          <w:rFonts w:cs="Segoe UI"/>
          <w:color w:val="212529"/>
          <w:lang w:val="en"/>
        </w:rPr>
        <w:t xml:space="preserve">, knowing that the results will be conveyed when available. </w:t>
      </w:r>
    </w:p>
    <w:p w14:paraId="26DC46BF" w14:textId="77777777" w:rsidR="00B27986" w:rsidRDefault="00B27986" w:rsidP="000F2326">
      <w:pPr>
        <w:spacing w:after="0" w:line="276" w:lineRule="auto"/>
        <w:jc w:val="both"/>
        <w:rPr>
          <w:rFonts w:cs="Segoe UI"/>
          <w:color w:val="212529"/>
          <w:lang w:val="en"/>
        </w:rPr>
      </w:pPr>
    </w:p>
    <w:p w14:paraId="6B92C342" w14:textId="1B6D8DBB" w:rsidR="00B27986" w:rsidRDefault="00B27986" w:rsidP="000F2326">
      <w:pPr>
        <w:spacing w:after="0" w:line="276" w:lineRule="auto"/>
        <w:jc w:val="both"/>
        <w:rPr>
          <w:rFonts w:cs="Segoe UI"/>
          <w:color w:val="212529"/>
          <w:lang w:val="en"/>
        </w:rPr>
      </w:pPr>
      <w:r>
        <w:rPr>
          <w:rFonts w:cs="Segoe UI"/>
          <w:color w:val="212529"/>
          <w:lang w:val="en"/>
        </w:rPr>
        <w:t>On a similarly basic level, th</w:t>
      </w:r>
      <w:r w:rsidR="000C6FAE">
        <w:rPr>
          <w:rFonts w:cs="Segoe UI"/>
          <w:color w:val="212529"/>
          <w:lang w:val="en"/>
        </w:rPr>
        <w:t xml:space="preserve">is </w:t>
      </w:r>
      <w:r>
        <w:rPr>
          <w:rFonts w:cs="Segoe UI"/>
          <w:color w:val="212529"/>
          <w:lang w:val="en"/>
        </w:rPr>
        <w:t>applie</w:t>
      </w:r>
      <w:r w:rsidR="00F70840">
        <w:rPr>
          <w:rFonts w:cs="Segoe UI"/>
          <w:color w:val="212529"/>
          <w:lang w:val="en"/>
        </w:rPr>
        <w:t>s with beauty salon treatments. Defending against bad hair days, t</w:t>
      </w:r>
      <w:r>
        <w:rPr>
          <w:rFonts w:cs="Segoe UI"/>
          <w:color w:val="212529"/>
          <w:lang w:val="en"/>
        </w:rPr>
        <w:t xml:space="preserve">he client makes an appointment, stipulating what is required – say shampoo, semi-permanent </w:t>
      </w:r>
      <w:proofErr w:type="spellStart"/>
      <w:r>
        <w:rPr>
          <w:rFonts w:cs="Segoe UI"/>
          <w:color w:val="212529"/>
          <w:lang w:val="en"/>
        </w:rPr>
        <w:t>colour</w:t>
      </w:r>
      <w:proofErr w:type="spellEnd"/>
      <w:r>
        <w:rPr>
          <w:rFonts w:cs="Segoe UI"/>
          <w:color w:val="212529"/>
          <w:lang w:val="en"/>
        </w:rPr>
        <w:t>, blow dry. Upon arrival</w:t>
      </w:r>
      <w:r w:rsidR="000C6FAE">
        <w:rPr>
          <w:rFonts w:cs="Segoe UI"/>
          <w:color w:val="212529"/>
          <w:lang w:val="en"/>
        </w:rPr>
        <w:t>,</w:t>
      </w:r>
      <w:r>
        <w:rPr>
          <w:rFonts w:cs="Segoe UI"/>
          <w:color w:val="212529"/>
          <w:lang w:val="en"/>
        </w:rPr>
        <w:t xml:space="preserve"> the assumption is that they (and the salon) know what is intended – </w:t>
      </w:r>
      <w:proofErr w:type="spellStart"/>
      <w:r>
        <w:rPr>
          <w:rFonts w:cs="Segoe UI"/>
          <w:color w:val="212529"/>
          <w:lang w:val="en"/>
        </w:rPr>
        <w:t>colour</w:t>
      </w:r>
      <w:proofErr w:type="spellEnd"/>
      <w:r>
        <w:rPr>
          <w:rFonts w:cs="Segoe UI"/>
          <w:color w:val="212529"/>
          <w:lang w:val="en"/>
        </w:rPr>
        <w:t xml:space="preserve"> selected in a consultation between client and hairdresser or </w:t>
      </w:r>
      <w:proofErr w:type="spellStart"/>
      <w:r>
        <w:rPr>
          <w:rFonts w:cs="Segoe UI"/>
          <w:color w:val="212529"/>
          <w:lang w:val="en"/>
        </w:rPr>
        <w:t>colourist</w:t>
      </w:r>
      <w:proofErr w:type="spellEnd"/>
      <w:r>
        <w:rPr>
          <w:rFonts w:cs="Segoe UI"/>
          <w:color w:val="212529"/>
          <w:lang w:val="en"/>
        </w:rPr>
        <w:t xml:space="preserve">, </w:t>
      </w:r>
      <w:proofErr w:type="spellStart"/>
      <w:r>
        <w:rPr>
          <w:rFonts w:cs="Segoe UI"/>
          <w:color w:val="212529"/>
          <w:lang w:val="en"/>
        </w:rPr>
        <w:t>colour</w:t>
      </w:r>
      <w:proofErr w:type="spellEnd"/>
      <w:r>
        <w:rPr>
          <w:rFonts w:cs="Segoe UI"/>
          <w:color w:val="212529"/>
          <w:lang w:val="en"/>
        </w:rPr>
        <w:t xml:space="preserve"> mixed then applied to hair, the client advised that the </w:t>
      </w:r>
      <w:proofErr w:type="spellStart"/>
      <w:r>
        <w:rPr>
          <w:rFonts w:cs="Segoe UI"/>
          <w:color w:val="212529"/>
          <w:lang w:val="en"/>
        </w:rPr>
        <w:t>colour</w:t>
      </w:r>
      <w:proofErr w:type="spellEnd"/>
      <w:r>
        <w:rPr>
          <w:rFonts w:cs="Segoe UI"/>
          <w:color w:val="212529"/>
          <w:lang w:val="en"/>
        </w:rPr>
        <w:t xml:space="preserve"> will remain for (say) 20 minutes or half an hour. Then comes a move to the basin, water, </w:t>
      </w:r>
      <w:proofErr w:type="gramStart"/>
      <w:r>
        <w:rPr>
          <w:rFonts w:cs="Segoe UI"/>
          <w:color w:val="212529"/>
          <w:lang w:val="en"/>
        </w:rPr>
        <w:t>shampoo</w:t>
      </w:r>
      <w:proofErr w:type="gramEnd"/>
      <w:r>
        <w:rPr>
          <w:rFonts w:cs="Segoe UI"/>
          <w:color w:val="212529"/>
          <w:lang w:val="en"/>
        </w:rPr>
        <w:t xml:space="preserve"> and conditioner. Next, back to the original chair, a question about ‘product’ such as mousse and a ‘yes’</w:t>
      </w:r>
      <w:r w:rsidR="006C19B0">
        <w:rPr>
          <w:rFonts w:cs="Segoe UI"/>
          <w:color w:val="212529"/>
          <w:lang w:val="en"/>
        </w:rPr>
        <w:t xml:space="preserve"> (consent)</w:t>
      </w:r>
      <w:r>
        <w:rPr>
          <w:rFonts w:cs="Segoe UI"/>
          <w:color w:val="212529"/>
          <w:lang w:val="en"/>
        </w:rPr>
        <w:t xml:space="preserve"> or ‘no’ </w:t>
      </w:r>
      <w:r w:rsidR="006C19B0">
        <w:rPr>
          <w:rFonts w:cs="Segoe UI"/>
          <w:color w:val="212529"/>
          <w:lang w:val="en"/>
        </w:rPr>
        <w:t xml:space="preserve">(no consent) </w:t>
      </w:r>
      <w:r>
        <w:rPr>
          <w:rFonts w:cs="Segoe UI"/>
          <w:color w:val="212529"/>
          <w:lang w:val="en"/>
        </w:rPr>
        <w:t>from the clien</w:t>
      </w:r>
      <w:r w:rsidR="006C19B0">
        <w:rPr>
          <w:rFonts w:cs="Segoe UI"/>
          <w:color w:val="212529"/>
          <w:lang w:val="en"/>
        </w:rPr>
        <w:t>t. A</w:t>
      </w:r>
      <w:r>
        <w:rPr>
          <w:rFonts w:cs="Segoe UI"/>
          <w:color w:val="212529"/>
          <w:lang w:val="en"/>
        </w:rPr>
        <w:t xml:space="preserve"> </w:t>
      </w:r>
      <w:r w:rsidR="006C19B0">
        <w:rPr>
          <w:rFonts w:cs="Segoe UI"/>
          <w:color w:val="212529"/>
          <w:lang w:val="en"/>
        </w:rPr>
        <w:t>hairdryer</w:t>
      </w:r>
      <w:r>
        <w:rPr>
          <w:rFonts w:cs="Segoe UI"/>
          <w:color w:val="212529"/>
          <w:lang w:val="en"/>
        </w:rPr>
        <w:t xml:space="preserve"> is turned on</w:t>
      </w:r>
      <w:r w:rsidR="006C19B0">
        <w:rPr>
          <w:rFonts w:cs="Segoe UI"/>
          <w:color w:val="212529"/>
          <w:lang w:val="en"/>
        </w:rPr>
        <w:t xml:space="preserve">, </w:t>
      </w:r>
      <w:r>
        <w:rPr>
          <w:rFonts w:cs="Segoe UI"/>
          <w:color w:val="212529"/>
          <w:lang w:val="en"/>
        </w:rPr>
        <w:t xml:space="preserve">the hairdresser completing the </w:t>
      </w:r>
      <w:r w:rsidR="006C19B0">
        <w:rPr>
          <w:rFonts w:cs="Segoe UI"/>
          <w:color w:val="212529"/>
          <w:lang w:val="en"/>
        </w:rPr>
        <w:t>blow dry</w:t>
      </w:r>
      <w:r>
        <w:rPr>
          <w:rFonts w:cs="Segoe UI"/>
          <w:color w:val="212529"/>
          <w:lang w:val="en"/>
        </w:rPr>
        <w:t>.</w:t>
      </w:r>
      <w:r w:rsidR="00F70840">
        <w:rPr>
          <w:rFonts w:cs="Segoe UI"/>
          <w:color w:val="212529"/>
          <w:lang w:val="en"/>
        </w:rPr>
        <w:t xml:space="preserve"> If she had not had </w:t>
      </w:r>
      <w:proofErr w:type="spellStart"/>
      <w:r w:rsidR="00F70840">
        <w:rPr>
          <w:rFonts w:cs="Segoe UI"/>
          <w:color w:val="212529"/>
          <w:lang w:val="en"/>
        </w:rPr>
        <w:t>colour</w:t>
      </w:r>
      <w:proofErr w:type="spellEnd"/>
      <w:r w:rsidR="00F70840">
        <w:rPr>
          <w:rFonts w:cs="Segoe UI"/>
          <w:color w:val="212529"/>
          <w:lang w:val="en"/>
        </w:rPr>
        <w:t xml:space="preserve"> applied at that salon previously, a</w:t>
      </w:r>
      <w:r>
        <w:rPr>
          <w:rFonts w:cs="Segoe UI"/>
          <w:color w:val="212529"/>
          <w:lang w:val="en"/>
        </w:rPr>
        <w:t xml:space="preserve"> </w:t>
      </w:r>
      <w:proofErr w:type="spellStart"/>
      <w:r>
        <w:rPr>
          <w:rFonts w:cs="Segoe UI"/>
          <w:color w:val="212529"/>
          <w:lang w:val="en"/>
        </w:rPr>
        <w:t>colour</w:t>
      </w:r>
      <w:proofErr w:type="spellEnd"/>
      <w:r>
        <w:rPr>
          <w:rFonts w:cs="Segoe UI"/>
          <w:color w:val="212529"/>
          <w:lang w:val="en"/>
        </w:rPr>
        <w:t xml:space="preserve"> test should have</w:t>
      </w:r>
      <w:r w:rsidR="006C19B0">
        <w:rPr>
          <w:rFonts w:cs="Segoe UI"/>
          <w:color w:val="212529"/>
          <w:lang w:val="en"/>
        </w:rPr>
        <w:t xml:space="preserve"> been</w:t>
      </w:r>
      <w:r>
        <w:rPr>
          <w:rFonts w:cs="Segoe UI"/>
          <w:color w:val="212529"/>
          <w:lang w:val="en"/>
        </w:rPr>
        <w:t xml:space="preserve"> </w:t>
      </w:r>
      <w:r w:rsidR="006C19B0">
        <w:rPr>
          <w:rFonts w:cs="Segoe UI"/>
          <w:color w:val="212529"/>
          <w:lang w:val="en"/>
        </w:rPr>
        <w:t>undertaken 24</w:t>
      </w:r>
      <w:r>
        <w:rPr>
          <w:rFonts w:cs="Segoe UI"/>
          <w:color w:val="212529"/>
          <w:lang w:val="en"/>
        </w:rPr>
        <w:t xml:space="preserve"> or 48 hours earlier, </w:t>
      </w:r>
      <w:proofErr w:type="spellStart"/>
      <w:r>
        <w:rPr>
          <w:rFonts w:cs="Segoe UI"/>
          <w:color w:val="212529"/>
          <w:lang w:val="en"/>
        </w:rPr>
        <w:t>colour</w:t>
      </w:r>
      <w:proofErr w:type="spellEnd"/>
      <w:r>
        <w:rPr>
          <w:rFonts w:cs="Segoe UI"/>
          <w:color w:val="212529"/>
          <w:lang w:val="en"/>
        </w:rPr>
        <w:t xml:space="preserve"> applied behind the client’s ear</w:t>
      </w:r>
      <w:r w:rsidR="00F70840">
        <w:rPr>
          <w:rFonts w:cs="Segoe UI"/>
          <w:color w:val="212529"/>
          <w:lang w:val="en"/>
        </w:rPr>
        <w:t xml:space="preserve"> to guard against a negative reaction when the whole head is covered</w:t>
      </w:r>
      <w:r>
        <w:rPr>
          <w:rFonts w:cs="Segoe UI"/>
          <w:color w:val="212529"/>
          <w:lang w:val="en"/>
        </w:rPr>
        <w:t xml:space="preserve">. </w:t>
      </w:r>
      <w:r w:rsidR="006C19B0">
        <w:rPr>
          <w:rFonts w:cs="Segoe UI"/>
          <w:color w:val="212529"/>
          <w:lang w:val="en"/>
        </w:rPr>
        <w:t xml:space="preserve">Without the test, </w:t>
      </w:r>
      <w:r>
        <w:rPr>
          <w:rFonts w:cs="Segoe UI"/>
          <w:color w:val="212529"/>
          <w:lang w:val="en"/>
        </w:rPr>
        <w:t xml:space="preserve">and the client suffers an allergic reaction to the </w:t>
      </w:r>
      <w:proofErr w:type="spellStart"/>
      <w:r>
        <w:rPr>
          <w:rFonts w:cs="Segoe UI"/>
          <w:color w:val="212529"/>
          <w:lang w:val="en"/>
        </w:rPr>
        <w:t>colour</w:t>
      </w:r>
      <w:proofErr w:type="spellEnd"/>
      <w:r>
        <w:rPr>
          <w:rFonts w:cs="Segoe UI"/>
          <w:color w:val="212529"/>
          <w:lang w:val="en"/>
        </w:rPr>
        <w:t xml:space="preserve">, the salon </w:t>
      </w:r>
      <w:r w:rsidR="006C19B0">
        <w:rPr>
          <w:rFonts w:cs="Segoe UI"/>
          <w:color w:val="212529"/>
          <w:lang w:val="en"/>
        </w:rPr>
        <w:t>is</w:t>
      </w:r>
      <w:r>
        <w:rPr>
          <w:rFonts w:cs="Segoe UI"/>
          <w:color w:val="212529"/>
          <w:lang w:val="en"/>
        </w:rPr>
        <w:t xml:space="preserve"> open to legal challenge. One Marine </w:t>
      </w:r>
      <w:r w:rsidR="00AF58FE">
        <w:rPr>
          <w:rFonts w:cs="Segoe UI"/>
          <w:color w:val="212529"/>
          <w:lang w:val="en"/>
        </w:rPr>
        <w:t>A</w:t>
      </w:r>
      <w:r>
        <w:rPr>
          <w:rFonts w:cs="Segoe UI"/>
          <w:color w:val="212529"/>
          <w:lang w:val="en"/>
        </w:rPr>
        <w:t>gency Insurance company in listing the ‘Top 9 Reasons’ for a lawsuit against a hairdresser’s salon does not include allergic reaction to dye</w:t>
      </w:r>
      <w:r w:rsidR="008F2628">
        <w:rPr>
          <w:rFonts w:cs="Segoe UI"/>
          <w:color w:val="212529"/>
          <w:lang w:val="en"/>
        </w:rPr>
        <w:t xml:space="preserve">, effectively </w:t>
      </w:r>
      <w:r w:rsidR="00AF58FE">
        <w:rPr>
          <w:rFonts w:cs="Segoe UI"/>
          <w:color w:val="212529"/>
          <w:lang w:val="en"/>
        </w:rPr>
        <w:t>confirming</w:t>
      </w:r>
      <w:r w:rsidR="008F2628">
        <w:rPr>
          <w:rFonts w:cs="Segoe UI"/>
          <w:color w:val="212529"/>
          <w:lang w:val="en"/>
        </w:rPr>
        <w:t xml:space="preserve"> that salons generally do test</w:t>
      </w:r>
      <w:r>
        <w:rPr>
          <w:rFonts w:cs="Segoe UI"/>
          <w:color w:val="212529"/>
          <w:lang w:val="en"/>
        </w:rPr>
        <w:t>.</w:t>
      </w:r>
      <w:r>
        <w:rPr>
          <w:rStyle w:val="EndnoteReference"/>
          <w:rFonts w:cs="Segoe UI"/>
          <w:color w:val="212529"/>
          <w:lang w:val="en"/>
        </w:rPr>
        <w:endnoteReference w:id="52"/>
      </w:r>
      <w:r>
        <w:rPr>
          <w:rFonts w:cs="Segoe UI"/>
          <w:color w:val="212529"/>
          <w:lang w:val="en"/>
        </w:rPr>
        <w:t xml:space="preserve"> </w:t>
      </w:r>
      <w:r w:rsidR="008F2628">
        <w:rPr>
          <w:rFonts w:cs="Segoe UI"/>
          <w:color w:val="212529"/>
          <w:lang w:val="en"/>
        </w:rPr>
        <w:t xml:space="preserve">Nonetheless, failures occur, and a </w:t>
      </w:r>
      <w:r>
        <w:rPr>
          <w:rFonts w:cs="Segoe UI"/>
          <w:color w:val="212529"/>
          <w:lang w:val="en"/>
        </w:rPr>
        <w:t xml:space="preserve">business support service lists </w:t>
      </w:r>
      <w:r w:rsidR="00AF58FE">
        <w:rPr>
          <w:rFonts w:cs="Segoe UI"/>
          <w:color w:val="212529"/>
          <w:lang w:val="en"/>
        </w:rPr>
        <w:t>this as</w:t>
      </w:r>
      <w:r w:rsidR="008F2628">
        <w:rPr>
          <w:rFonts w:cs="Segoe UI"/>
          <w:color w:val="212529"/>
          <w:lang w:val="en"/>
        </w:rPr>
        <w:t xml:space="preserve"> </w:t>
      </w:r>
      <w:r>
        <w:rPr>
          <w:rFonts w:cs="Segoe UI"/>
          <w:color w:val="212529"/>
          <w:lang w:val="en"/>
        </w:rPr>
        <w:t>a potential claim.</w:t>
      </w:r>
      <w:r>
        <w:rPr>
          <w:rStyle w:val="EndnoteReference"/>
          <w:rFonts w:cs="Segoe UI"/>
          <w:color w:val="212529"/>
          <w:lang w:val="en"/>
        </w:rPr>
        <w:endnoteReference w:id="53"/>
      </w:r>
      <w:r w:rsidR="008F2628">
        <w:rPr>
          <w:rFonts w:cs="Segoe UI"/>
          <w:color w:val="212529"/>
          <w:lang w:val="en"/>
        </w:rPr>
        <w:t xml:space="preserve"> As to content of the products used, t</w:t>
      </w:r>
      <w:r>
        <w:rPr>
          <w:rFonts w:cs="Segoe UI"/>
          <w:color w:val="212529"/>
          <w:lang w:val="en"/>
        </w:rPr>
        <w:t>he client rarely asks and is rarely advised</w:t>
      </w:r>
      <w:r w:rsidR="008F2628">
        <w:rPr>
          <w:rFonts w:cs="Segoe UI"/>
          <w:color w:val="212529"/>
          <w:lang w:val="en"/>
        </w:rPr>
        <w:t>. The as</w:t>
      </w:r>
      <w:r>
        <w:rPr>
          <w:rFonts w:cs="Segoe UI"/>
          <w:color w:val="212529"/>
          <w:lang w:val="en"/>
        </w:rPr>
        <w:t xml:space="preserve">sumption </w:t>
      </w:r>
      <w:r w:rsidR="00AF58FE">
        <w:rPr>
          <w:rFonts w:cs="Segoe UI"/>
          <w:color w:val="212529"/>
          <w:lang w:val="en"/>
        </w:rPr>
        <w:t>is</w:t>
      </w:r>
      <w:r>
        <w:rPr>
          <w:rFonts w:cs="Segoe UI"/>
          <w:color w:val="212529"/>
          <w:lang w:val="en"/>
        </w:rPr>
        <w:t xml:space="preserve"> that</w:t>
      </w:r>
      <w:r w:rsidR="008F2628">
        <w:rPr>
          <w:rFonts w:cs="Segoe UI"/>
          <w:color w:val="212529"/>
          <w:lang w:val="en"/>
        </w:rPr>
        <w:t xml:space="preserve">, as </w:t>
      </w:r>
      <w:r>
        <w:rPr>
          <w:rFonts w:cs="Segoe UI"/>
          <w:color w:val="212529"/>
          <w:lang w:val="en"/>
        </w:rPr>
        <w:t xml:space="preserve">a professional with the </w:t>
      </w:r>
      <w:r w:rsidR="00CC65B2">
        <w:rPr>
          <w:rFonts w:cs="Segoe UI"/>
          <w:color w:val="212529"/>
          <w:lang w:val="en"/>
        </w:rPr>
        <w:t xml:space="preserve">(presumed) </w:t>
      </w:r>
      <w:r>
        <w:rPr>
          <w:rFonts w:cs="Segoe UI"/>
          <w:color w:val="212529"/>
          <w:lang w:val="en"/>
        </w:rPr>
        <w:t xml:space="preserve">requisite training, </w:t>
      </w:r>
      <w:r w:rsidR="008F2628">
        <w:rPr>
          <w:rFonts w:cs="Segoe UI"/>
          <w:color w:val="212529"/>
          <w:lang w:val="en"/>
        </w:rPr>
        <w:t xml:space="preserve">the hairdresser or </w:t>
      </w:r>
      <w:proofErr w:type="spellStart"/>
      <w:r w:rsidR="008F2628">
        <w:rPr>
          <w:rFonts w:cs="Segoe UI"/>
          <w:color w:val="212529"/>
          <w:lang w:val="en"/>
        </w:rPr>
        <w:t>colourist</w:t>
      </w:r>
      <w:proofErr w:type="spellEnd"/>
      <w:r w:rsidR="008F2628">
        <w:rPr>
          <w:rFonts w:cs="Segoe UI"/>
          <w:color w:val="212529"/>
          <w:lang w:val="en"/>
        </w:rPr>
        <w:t xml:space="preserve"> use</w:t>
      </w:r>
      <w:r w:rsidR="00CC65B2">
        <w:rPr>
          <w:rFonts w:cs="Segoe UI"/>
          <w:color w:val="212529"/>
          <w:lang w:val="en"/>
        </w:rPr>
        <w:t>s</w:t>
      </w:r>
      <w:r w:rsidR="008F2628">
        <w:rPr>
          <w:rFonts w:cs="Segoe UI"/>
          <w:color w:val="212529"/>
          <w:lang w:val="en"/>
        </w:rPr>
        <w:t xml:space="preserve"> </w:t>
      </w:r>
      <w:r>
        <w:rPr>
          <w:rFonts w:cs="Segoe UI"/>
          <w:color w:val="212529"/>
          <w:lang w:val="en"/>
        </w:rPr>
        <w:t xml:space="preserve">products </w:t>
      </w:r>
      <w:r>
        <w:rPr>
          <w:rFonts w:cs="Segoe UI"/>
          <w:color w:val="212529"/>
          <w:lang w:val="en"/>
        </w:rPr>
        <w:lastRenderedPageBreak/>
        <w:t>cont</w:t>
      </w:r>
      <w:r w:rsidR="008F2628">
        <w:rPr>
          <w:rFonts w:cs="Segoe UI"/>
          <w:color w:val="212529"/>
          <w:lang w:val="en"/>
        </w:rPr>
        <w:t xml:space="preserve">aining </w:t>
      </w:r>
      <w:r w:rsidR="00CC65B2">
        <w:rPr>
          <w:rFonts w:cs="Segoe UI"/>
          <w:color w:val="212529"/>
          <w:lang w:val="en"/>
        </w:rPr>
        <w:t>hair</w:t>
      </w:r>
      <w:r>
        <w:rPr>
          <w:rFonts w:cs="Segoe UI"/>
          <w:color w:val="212529"/>
          <w:lang w:val="en"/>
        </w:rPr>
        <w:t>-</w:t>
      </w:r>
      <w:r w:rsidR="00CC65B2">
        <w:rPr>
          <w:rFonts w:cs="Segoe UI"/>
          <w:color w:val="212529"/>
          <w:lang w:val="en"/>
        </w:rPr>
        <w:t xml:space="preserve"> and body-</w:t>
      </w:r>
      <w:r>
        <w:rPr>
          <w:rFonts w:cs="Segoe UI"/>
          <w:color w:val="212529"/>
          <w:lang w:val="en"/>
        </w:rPr>
        <w:t xml:space="preserve">friendly ingredients, sound and without defects. </w:t>
      </w:r>
      <w:r w:rsidR="00AF58FE">
        <w:rPr>
          <w:rFonts w:cs="Segoe UI"/>
          <w:color w:val="212529"/>
          <w:lang w:val="en"/>
        </w:rPr>
        <w:t>Sometimes, t</w:t>
      </w:r>
      <w:r>
        <w:rPr>
          <w:rFonts w:cs="Segoe UI"/>
          <w:color w:val="212529"/>
          <w:lang w:val="en"/>
        </w:rPr>
        <w:t xml:space="preserve">hese assumptions </w:t>
      </w:r>
      <w:r w:rsidR="00AF58FE">
        <w:rPr>
          <w:rFonts w:cs="Segoe UI"/>
          <w:color w:val="212529"/>
          <w:lang w:val="en"/>
        </w:rPr>
        <w:t>are</w:t>
      </w:r>
      <w:r>
        <w:rPr>
          <w:rFonts w:cs="Segoe UI"/>
          <w:color w:val="212529"/>
          <w:lang w:val="en"/>
        </w:rPr>
        <w:t xml:space="preserve"> misplaced, </w:t>
      </w:r>
      <w:r w:rsidR="008F2628">
        <w:rPr>
          <w:rFonts w:cs="Segoe UI"/>
          <w:color w:val="212529"/>
          <w:lang w:val="en"/>
        </w:rPr>
        <w:t xml:space="preserve">giving </w:t>
      </w:r>
      <w:r>
        <w:rPr>
          <w:rFonts w:cs="Segoe UI"/>
          <w:color w:val="212529"/>
          <w:lang w:val="en"/>
        </w:rPr>
        <w:t xml:space="preserve">rise to injury, </w:t>
      </w:r>
      <w:proofErr w:type="gramStart"/>
      <w:r>
        <w:rPr>
          <w:rFonts w:cs="Segoe UI"/>
          <w:color w:val="212529"/>
          <w:lang w:val="en"/>
        </w:rPr>
        <w:t>complaints</w:t>
      </w:r>
      <w:proofErr w:type="gramEnd"/>
      <w:r>
        <w:rPr>
          <w:rFonts w:cs="Segoe UI"/>
          <w:color w:val="212529"/>
          <w:lang w:val="en"/>
        </w:rPr>
        <w:t xml:space="preserve"> and legal action. S</w:t>
      </w:r>
      <w:r w:rsidR="00442251">
        <w:rPr>
          <w:rFonts w:cs="Segoe UI"/>
          <w:color w:val="212529"/>
          <w:lang w:val="en"/>
        </w:rPr>
        <w:t xml:space="preserve">o, too, </w:t>
      </w:r>
      <w:r>
        <w:rPr>
          <w:rFonts w:cs="Segoe UI"/>
          <w:color w:val="212529"/>
          <w:lang w:val="en"/>
        </w:rPr>
        <w:t xml:space="preserve">in the doctor’s surgery: if equipment is faulty or products </w:t>
      </w:r>
      <w:r w:rsidR="008F2628">
        <w:rPr>
          <w:rFonts w:cs="Segoe UI"/>
          <w:color w:val="212529"/>
          <w:lang w:val="en"/>
        </w:rPr>
        <w:t xml:space="preserve">are contaminated or </w:t>
      </w:r>
      <w:r w:rsidR="00F70840">
        <w:rPr>
          <w:rFonts w:cs="Segoe UI"/>
          <w:color w:val="212529"/>
          <w:lang w:val="en"/>
        </w:rPr>
        <w:t>produce allergic reactions, law</w:t>
      </w:r>
      <w:r>
        <w:rPr>
          <w:rFonts w:cs="Segoe UI"/>
          <w:color w:val="212529"/>
          <w:lang w:val="en"/>
        </w:rPr>
        <w:t xml:space="preserve">suits may arise from injuries sustained. </w:t>
      </w:r>
      <w:r w:rsidR="00F70840">
        <w:rPr>
          <w:rFonts w:cs="Segoe UI"/>
          <w:color w:val="212529"/>
          <w:lang w:val="en"/>
        </w:rPr>
        <w:t>So long as European regulatory regimes are maintained in the United Kingdom, m</w:t>
      </w:r>
      <w:r>
        <w:rPr>
          <w:rFonts w:cs="Segoe UI"/>
          <w:color w:val="212529"/>
          <w:lang w:val="en"/>
        </w:rPr>
        <w:t xml:space="preserve">edical devices and diagnostic kits and delivery systems for drugs are subject to </w:t>
      </w:r>
      <w:r w:rsidR="00F70840">
        <w:rPr>
          <w:rFonts w:cs="Segoe UI"/>
          <w:color w:val="212529"/>
          <w:lang w:val="en"/>
        </w:rPr>
        <w:t xml:space="preserve">strict regulation. </w:t>
      </w:r>
      <w:r w:rsidR="008F2628">
        <w:rPr>
          <w:rFonts w:cs="Segoe UI"/>
          <w:color w:val="212529"/>
          <w:lang w:val="en"/>
        </w:rPr>
        <w:t xml:space="preserve">Failure to comply </w:t>
      </w:r>
      <w:r>
        <w:rPr>
          <w:rFonts w:cs="Segoe UI"/>
          <w:color w:val="212529"/>
          <w:lang w:val="en"/>
        </w:rPr>
        <w:t>underpin</w:t>
      </w:r>
      <w:r w:rsidR="00AF58FE">
        <w:rPr>
          <w:rFonts w:cs="Segoe UI"/>
          <w:color w:val="212529"/>
          <w:lang w:val="en"/>
        </w:rPr>
        <w:t>s</w:t>
      </w:r>
      <w:r>
        <w:rPr>
          <w:rFonts w:cs="Segoe UI"/>
          <w:color w:val="212529"/>
          <w:lang w:val="en"/>
        </w:rPr>
        <w:t xml:space="preserve"> legal liability.</w:t>
      </w:r>
      <w:r>
        <w:rPr>
          <w:rStyle w:val="EndnoteReference"/>
          <w:rFonts w:cs="Segoe UI"/>
          <w:color w:val="212529"/>
          <w:lang w:val="en"/>
        </w:rPr>
        <w:endnoteReference w:id="54"/>
      </w:r>
      <w:r w:rsidR="00F70840">
        <w:rPr>
          <w:rFonts w:cs="Segoe UI"/>
          <w:color w:val="212529"/>
          <w:lang w:val="en"/>
        </w:rPr>
        <w:t xml:space="preserve"> Regimes and regulations may differ in Australia, Canada, Aotearoa/New </w:t>
      </w:r>
      <w:proofErr w:type="gramStart"/>
      <w:r w:rsidR="00F70840">
        <w:rPr>
          <w:rFonts w:cs="Segoe UI"/>
          <w:color w:val="212529"/>
          <w:lang w:val="en"/>
        </w:rPr>
        <w:t>Zealand</w:t>
      </w:r>
      <w:proofErr w:type="gramEnd"/>
      <w:r w:rsidR="00F70840">
        <w:rPr>
          <w:rFonts w:cs="Segoe UI"/>
          <w:color w:val="212529"/>
          <w:lang w:val="en"/>
        </w:rPr>
        <w:t xml:space="preserve"> and Australia, but generally </w:t>
      </w:r>
      <w:r w:rsidR="00AC679B">
        <w:rPr>
          <w:rFonts w:cs="Segoe UI"/>
          <w:color w:val="212529"/>
          <w:lang w:val="en"/>
        </w:rPr>
        <w:t>product and equipment defects and mishandling come within statutory guidance and control.</w:t>
      </w:r>
      <w:r w:rsidR="00AC679B">
        <w:rPr>
          <w:rStyle w:val="EndnoteReference"/>
          <w:rFonts w:cs="Segoe UI"/>
          <w:color w:val="212529"/>
          <w:lang w:val="en"/>
        </w:rPr>
        <w:endnoteReference w:id="55"/>
      </w:r>
    </w:p>
    <w:p w14:paraId="7859ABD1" w14:textId="77777777" w:rsidR="00B27986" w:rsidRDefault="00B27986" w:rsidP="00116E0A">
      <w:pPr>
        <w:spacing w:after="0" w:line="276" w:lineRule="auto"/>
        <w:jc w:val="both"/>
        <w:rPr>
          <w:rFonts w:cs="Segoe UI"/>
          <w:color w:val="212529"/>
          <w:lang w:val="en"/>
        </w:rPr>
      </w:pPr>
    </w:p>
    <w:p w14:paraId="2509A05F" w14:textId="22E0C6E1" w:rsidR="002D4190" w:rsidRDefault="008F2628" w:rsidP="0095343B">
      <w:pPr>
        <w:spacing w:after="0" w:line="276" w:lineRule="auto"/>
        <w:jc w:val="both"/>
        <w:rPr>
          <w:rFonts w:cs="Segoe UI"/>
          <w:color w:val="212529"/>
          <w:lang w:val="en"/>
        </w:rPr>
      </w:pPr>
      <w:r>
        <w:rPr>
          <w:rFonts w:cs="Segoe UI"/>
          <w:color w:val="212529"/>
          <w:lang w:val="en"/>
        </w:rPr>
        <w:t>As to p</w:t>
      </w:r>
      <w:r w:rsidR="002D4190">
        <w:rPr>
          <w:rFonts w:cs="Segoe UI"/>
          <w:color w:val="212529"/>
          <w:lang w:val="en"/>
        </w:rPr>
        <w:t xml:space="preserve">rinciples of legal liability </w:t>
      </w:r>
      <w:r>
        <w:rPr>
          <w:rFonts w:cs="Segoe UI"/>
          <w:color w:val="212529"/>
          <w:lang w:val="en"/>
        </w:rPr>
        <w:t xml:space="preserve">governing </w:t>
      </w:r>
      <w:r w:rsidR="002D4190">
        <w:rPr>
          <w:rFonts w:cs="Segoe UI"/>
          <w:color w:val="212529"/>
          <w:lang w:val="en"/>
        </w:rPr>
        <w:t xml:space="preserve">medical practitioners and clinicians or </w:t>
      </w:r>
      <w:r>
        <w:rPr>
          <w:rFonts w:cs="Segoe UI"/>
          <w:color w:val="212529"/>
          <w:lang w:val="en"/>
        </w:rPr>
        <w:t xml:space="preserve">beauty industry </w:t>
      </w:r>
      <w:r w:rsidR="002D4190">
        <w:rPr>
          <w:rFonts w:cs="Segoe UI"/>
          <w:color w:val="212529"/>
          <w:lang w:val="en"/>
        </w:rPr>
        <w:t xml:space="preserve">professionals, </w:t>
      </w:r>
      <w:r w:rsidR="00CC65B2">
        <w:rPr>
          <w:rFonts w:cs="Segoe UI"/>
          <w:color w:val="212529"/>
          <w:lang w:val="en"/>
        </w:rPr>
        <w:t>s</w:t>
      </w:r>
      <w:r w:rsidR="002D4190">
        <w:rPr>
          <w:rFonts w:cs="Segoe UI"/>
          <w:color w:val="212529"/>
          <w:lang w:val="en"/>
        </w:rPr>
        <w:t>ometimes claims may be brought in contract</w:t>
      </w:r>
      <w:r>
        <w:rPr>
          <w:rFonts w:cs="Segoe UI"/>
          <w:color w:val="212529"/>
          <w:lang w:val="en"/>
        </w:rPr>
        <w:t xml:space="preserve"> </w:t>
      </w:r>
      <w:r w:rsidR="002D4190">
        <w:rPr>
          <w:rFonts w:cs="Segoe UI"/>
          <w:color w:val="212529"/>
          <w:lang w:val="en"/>
        </w:rPr>
        <w:t xml:space="preserve">between </w:t>
      </w:r>
      <w:r>
        <w:rPr>
          <w:rFonts w:cs="Segoe UI"/>
          <w:color w:val="212529"/>
          <w:lang w:val="en"/>
        </w:rPr>
        <w:t xml:space="preserve">a private </w:t>
      </w:r>
      <w:r w:rsidR="002D4190">
        <w:rPr>
          <w:rFonts w:cs="Segoe UI"/>
          <w:color w:val="212529"/>
          <w:lang w:val="en"/>
        </w:rPr>
        <w:t>practitioner and patient (</w:t>
      </w:r>
      <w:r w:rsidR="00CC65B2">
        <w:rPr>
          <w:rFonts w:cs="Segoe UI"/>
          <w:color w:val="212529"/>
          <w:lang w:val="en"/>
        </w:rPr>
        <w:t>though not</w:t>
      </w:r>
      <w:r w:rsidR="002D4190">
        <w:rPr>
          <w:rFonts w:cs="Segoe UI"/>
          <w:color w:val="212529"/>
          <w:lang w:val="en"/>
        </w:rPr>
        <w:t xml:space="preserve"> </w:t>
      </w:r>
      <w:r>
        <w:rPr>
          <w:rFonts w:cs="Segoe UI"/>
          <w:color w:val="212529"/>
          <w:lang w:val="en"/>
        </w:rPr>
        <w:t xml:space="preserve">for </w:t>
      </w:r>
      <w:r w:rsidR="002D4190">
        <w:rPr>
          <w:rFonts w:cs="Segoe UI"/>
          <w:color w:val="212529"/>
          <w:lang w:val="en"/>
        </w:rPr>
        <w:t>procedure</w:t>
      </w:r>
      <w:r>
        <w:rPr>
          <w:rFonts w:cs="Segoe UI"/>
          <w:color w:val="212529"/>
          <w:lang w:val="en"/>
        </w:rPr>
        <w:t>s</w:t>
      </w:r>
      <w:r w:rsidR="002D4190">
        <w:rPr>
          <w:rFonts w:cs="Segoe UI"/>
          <w:color w:val="212529"/>
          <w:lang w:val="en"/>
        </w:rPr>
        <w:t xml:space="preserve"> </w:t>
      </w:r>
      <w:r>
        <w:rPr>
          <w:rFonts w:cs="Segoe UI"/>
          <w:color w:val="212529"/>
          <w:lang w:val="en"/>
        </w:rPr>
        <w:t xml:space="preserve">on </w:t>
      </w:r>
      <w:r w:rsidR="002D4190">
        <w:rPr>
          <w:rFonts w:cs="Segoe UI"/>
          <w:color w:val="212529"/>
          <w:lang w:val="en"/>
        </w:rPr>
        <w:t xml:space="preserve">the National Health Service (NHS)). </w:t>
      </w:r>
      <w:r w:rsidR="00CC65B2">
        <w:rPr>
          <w:rFonts w:cs="Segoe UI"/>
          <w:color w:val="212529"/>
          <w:lang w:val="en"/>
        </w:rPr>
        <w:t xml:space="preserve">In Canada a contractual claim against </w:t>
      </w:r>
      <w:r w:rsidR="002D4190">
        <w:rPr>
          <w:rFonts w:cs="Segoe UI"/>
          <w:color w:val="212529"/>
          <w:lang w:val="en"/>
        </w:rPr>
        <w:t xml:space="preserve">a plastic surgeon </w:t>
      </w:r>
      <w:r w:rsidR="00CC65B2">
        <w:rPr>
          <w:rFonts w:cs="Segoe UI"/>
          <w:color w:val="212529"/>
          <w:lang w:val="en"/>
        </w:rPr>
        <w:t>succeeded</w:t>
      </w:r>
      <w:r w:rsidR="002D4190">
        <w:rPr>
          <w:rFonts w:cs="Segoe UI"/>
          <w:color w:val="212529"/>
          <w:lang w:val="en"/>
        </w:rPr>
        <w:t xml:space="preserve"> where</w:t>
      </w:r>
      <w:r w:rsidR="00CC65B2">
        <w:rPr>
          <w:rFonts w:cs="Segoe UI"/>
          <w:color w:val="212529"/>
          <w:lang w:val="en"/>
        </w:rPr>
        <w:t>,</w:t>
      </w:r>
      <w:r w:rsidR="002D4190">
        <w:rPr>
          <w:rFonts w:cs="Segoe UI"/>
          <w:color w:val="212529"/>
          <w:lang w:val="en"/>
        </w:rPr>
        <w:t xml:space="preserve"> </w:t>
      </w:r>
      <w:r>
        <w:rPr>
          <w:rFonts w:cs="Segoe UI"/>
          <w:color w:val="212529"/>
          <w:lang w:val="en"/>
        </w:rPr>
        <w:t xml:space="preserve">preceding </w:t>
      </w:r>
      <w:r w:rsidR="002D4190">
        <w:rPr>
          <w:rFonts w:cs="Segoe UI"/>
          <w:color w:val="212529"/>
          <w:lang w:val="en"/>
        </w:rPr>
        <w:t>the operation</w:t>
      </w:r>
      <w:r w:rsidR="00CC65B2">
        <w:rPr>
          <w:rFonts w:cs="Segoe UI"/>
          <w:color w:val="212529"/>
          <w:lang w:val="en"/>
        </w:rPr>
        <w:t>,</w:t>
      </w:r>
      <w:r w:rsidR="002D4190">
        <w:rPr>
          <w:rFonts w:cs="Segoe UI"/>
          <w:color w:val="212529"/>
          <w:lang w:val="en"/>
        </w:rPr>
        <w:t xml:space="preserve"> the doctor </w:t>
      </w:r>
      <w:r>
        <w:rPr>
          <w:rFonts w:cs="Segoe UI"/>
          <w:color w:val="212529"/>
          <w:lang w:val="en"/>
        </w:rPr>
        <w:t xml:space="preserve">told </w:t>
      </w:r>
      <w:r w:rsidR="002D4190">
        <w:rPr>
          <w:rFonts w:cs="Segoe UI"/>
          <w:color w:val="212529"/>
          <w:lang w:val="en"/>
        </w:rPr>
        <w:t>the patient: ‘There will be no problem. You will be very happy.’</w:t>
      </w:r>
      <w:r w:rsidR="002D4190">
        <w:rPr>
          <w:rStyle w:val="EndnoteReference"/>
          <w:rFonts w:cs="Segoe UI"/>
          <w:color w:val="212529"/>
          <w:lang w:val="en"/>
        </w:rPr>
        <w:endnoteReference w:id="56"/>
      </w:r>
      <w:r w:rsidR="002D4190">
        <w:rPr>
          <w:rFonts w:cs="Segoe UI"/>
          <w:color w:val="212529"/>
          <w:lang w:val="en"/>
        </w:rPr>
        <w:t xml:space="preserve"> </w:t>
      </w:r>
      <w:r w:rsidR="00CC65B2">
        <w:rPr>
          <w:rFonts w:cs="Segoe UI"/>
          <w:color w:val="212529"/>
          <w:lang w:val="en"/>
        </w:rPr>
        <w:t>T</w:t>
      </w:r>
      <w:r w:rsidR="008716C3">
        <w:rPr>
          <w:rFonts w:cs="Segoe UI"/>
          <w:color w:val="212529"/>
          <w:lang w:val="en"/>
        </w:rPr>
        <w:t>here was a problem. The patient was not very happy. Th</w:t>
      </w:r>
      <w:r w:rsidR="0050198A">
        <w:rPr>
          <w:rFonts w:cs="Segoe UI"/>
          <w:color w:val="212529"/>
          <w:lang w:val="en"/>
        </w:rPr>
        <w:t>is was deemed</w:t>
      </w:r>
      <w:r w:rsidR="00CC65B2">
        <w:rPr>
          <w:rFonts w:cs="Segoe UI"/>
          <w:color w:val="212529"/>
          <w:lang w:val="en"/>
        </w:rPr>
        <w:t xml:space="preserve"> an express contractual warranty binding on the surgeon, </w:t>
      </w:r>
      <w:r w:rsidR="0050198A">
        <w:rPr>
          <w:rFonts w:cs="Segoe UI"/>
          <w:color w:val="212529"/>
          <w:lang w:val="en"/>
        </w:rPr>
        <w:t xml:space="preserve">making </w:t>
      </w:r>
      <w:r w:rsidR="00CC65B2">
        <w:rPr>
          <w:rFonts w:cs="Segoe UI"/>
          <w:color w:val="212529"/>
          <w:lang w:val="en"/>
        </w:rPr>
        <w:t xml:space="preserve">the </w:t>
      </w:r>
      <w:r w:rsidR="008716C3">
        <w:rPr>
          <w:rFonts w:cs="Segoe UI"/>
          <w:color w:val="212529"/>
          <w:lang w:val="en"/>
        </w:rPr>
        <w:t>surgeon liable in contract</w:t>
      </w:r>
      <w:r w:rsidR="002D4190">
        <w:rPr>
          <w:rFonts w:cs="Segoe UI"/>
          <w:color w:val="212529"/>
          <w:lang w:val="en"/>
        </w:rPr>
        <w:t>. Generally, however, claims are pursued in tort</w:t>
      </w:r>
      <w:r w:rsidR="00CC65B2">
        <w:rPr>
          <w:rFonts w:cs="Segoe UI"/>
          <w:color w:val="212529"/>
          <w:lang w:val="en"/>
        </w:rPr>
        <w:t>, a civil wrong</w:t>
      </w:r>
      <w:r w:rsidR="0050198A">
        <w:rPr>
          <w:rFonts w:cs="Segoe UI"/>
          <w:color w:val="212529"/>
          <w:lang w:val="en"/>
        </w:rPr>
        <w:t>. The claimant bears the b</w:t>
      </w:r>
      <w:r w:rsidR="00CC65B2">
        <w:rPr>
          <w:rFonts w:cs="Segoe UI"/>
          <w:color w:val="212529"/>
          <w:lang w:val="en"/>
        </w:rPr>
        <w:t>urden of proof</w:t>
      </w:r>
      <w:r w:rsidR="0050198A">
        <w:rPr>
          <w:rFonts w:cs="Segoe UI"/>
          <w:color w:val="212529"/>
          <w:lang w:val="en"/>
        </w:rPr>
        <w:t xml:space="preserve"> </w:t>
      </w:r>
      <w:r w:rsidR="00CC65B2">
        <w:rPr>
          <w:rFonts w:cs="Segoe UI"/>
          <w:color w:val="212529"/>
          <w:lang w:val="en"/>
        </w:rPr>
        <w:t>‘on the balance of probabilities</w:t>
      </w:r>
      <w:r w:rsidR="0050198A">
        <w:rPr>
          <w:rFonts w:cs="Segoe UI"/>
          <w:color w:val="212529"/>
          <w:lang w:val="en"/>
        </w:rPr>
        <w:t>’</w:t>
      </w:r>
      <w:r w:rsidR="00A92409">
        <w:rPr>
          <w:rFonts w:cs="Segoe UI"/>
          <w:color w:val="212529"/>
          <w:lang w:val="en"/>
        </w:rPr>
        <w:t>, relying upon the negligence</w:t>
      </w:r>
      <w:r w:rsidR="002D4190">
        <w:rPr>
          <w:rFonts w:cs="Segoe UI"/>
          <w:color w:val="212529"/>
          <w:lang w:val="en"/>
        </w:rPr>
        <w:t>.</w:t>
      </w:r>
      <w:r w:rsidR="00865C3C">
        <w:rPr>
          <w:rFonts w:cs="Segoe UI"/>
          <w:color w:val="212529"/>
          <w:lang w:val="en"/>
        </w:rPr>
        <w:t xml:space="preserve"> </w:t>
      </w:r>
      <w:r w:rsidR="0050198A">
        <w:rPr>
          <w:rFonts w:cs="Segoe UI"/>
          <w:color w:val="212529"/>
          <w:lang w:val="en"/>
        </w:rPr>
        <w:t>T</w:t>
      </w:r>
      <w:r w:rsidR="00865C3C">
        <w:rPr>
          <w:rFonts w:cs="Segoe UI"/>
          <w:color w:val="212529"/>
          <w:lang w:val="en"/>
        </w:rPr>
        <w:t xml:space="preserve">he patient must establish that the defendant (surgeon, practitioner, hairdresser, </w:t>
      </w:r>
      <w:r w:rsidR="008716C3">
        <w:rPr>
          <w:rFonts w:cs="Segoe UI"/>
          <w:color w:val="212529"/>
          <w:lang w:val="en"/>
        </w:rPr>
        <w:t xml:space="preserve">therapist, </w:t>
      </w:r>
      <w:r w:rsidR="00865C3C">
        <w:rPr>
          <w:rFonts w:cs="Segoe UI"/>
          <w:color w:val="212529"/>
          <w:lang w:val="en"/>
        </w:rPr>
        <w:t>manicurist</w:t>
      </w:r>
      <w:r w:rsidR="008716C3">
        <w:rPr>
          <w:rFonts w:cs="Segoe UI"/>
          <w:color w:val="212529"/>
          <w:lang w:val="en"/>
        </w:rPr>
        <w:t xml:space="preserve">, masseuse </w:t>
      </w:r>
      <w:r w:rsidR="00865C3C">
        <w:rPr>
          <w:rFonts w:cs="Segoe UI"/>
          <w:color w:val="212529"/>
          <w:lang w:val="en"/>
        </w:rPr>
        <w:t>…) owed them a duty of care</w:t>
      </w:r>
      <w:r w:rsidR="00A92409">
        <w:rPr>
          <w:rFonts w:cs="Segoe UI"/>
          <w:color w:val="212529"/>
          <w:lang w:val="en"/>
        </w:rPr>
        <w:t>, that the duty of care was breached and that the damage was caused by the defendant’s failure</w:t>
      </w:r>
      <w:r w:rsidR="00865C3C">
        <w:rPr>
          <w:rFonts w:cs="Segoe UI"/>
          <w:color w:val="212529"/>
          <w:lang w:val="en"/>
        </w:rPr>
        <w:t>. Th</w:t>
      </w:r>
      <w:r w:rsidR="00CC65B2">
        <w:rPr>
          <w:rFonts w:cs="Segoe UI"/>
          <w:color w:val="212529"/>
          <w:lang w:val="en"/>
        </w:rPr>
        <w:t>e duty a</w:t>
      </w:r>
      <w:r w:rsidR="00865C3C">
        <w:rPr>
          <w:rFonts w:cs="Segoe UI"/>
          <w:color w:val="212529"/>
          <w:lang w:val="en"/>
        </w:rPr>
        <w:t xml:space="preserve">rises from the relationship between the parties, patient or client and doctor or practitioner or hairdresser … A claim may also be brought against the medical practice or the beauty salon itself, or the spa owner/operator </w:t>
      </w:r>
      <w:r w:rsidR="00CC65B2">
        <w:rPr>
          <w:rFonts w:cs="Segoe UI"/>
          <w:color w:val="212529"/>
          <w:lang w:val="en"/>
        </w:rPr>
        <w:t>or management</w:t>
      </w:r>
      <w:r w:rsidR="00865C3C">
        <w:rPr>
          <w:rFonts w:cs="Segoe UI"/>
          <w:color w:val="212529"/>
          <w:lang w:val="en"/>
        </w:rPr>
        <w:t xml:space="preserve">. </w:t>
      </w:r>
      <w:r w:rsidR="00DF7FD2">
        <w:rPr>
          <w:rFonts w:cs="Segoe UI"/>
          <w:color w:val="212529"/>
          <w:lang w:val="en"/>
        </w:rPr>
        <w:t xml:space="preserve">Once the duty of care is established, the onus is on the </w:t>
      </w:r>
      <w:r w:rsidR="007212A0">
        <w:rPr>
          <w:rFonts w:cs="Segoe UI"/>
          <w:color w:val="212529"/>
          <w:lang w:val="en"/>
        </w:rPr>
        <w:t xml:space="preserve">claimant or </w:t>
      </w:r>
      <w:r w:rsidR="00DF7FD2">
        <w:rPr>
          <w:rFonts w:cs="Segoe UI"/>
          <w:color w:val="212529"/>
          <w:lang w:val="en"/>
        </w:rPr>
        <w:t xml:space="preserve">litigant to </w:t>
      </w:r>
      <w:r w:rsidR="0050198A">
        <w:rPr>
          <w:rFonts w:cs="Segoe UI"/>
          <w:color w:val="212529"/>
          <w:lang w:val="en"/>
        </w:rPr>
        <w:t>show</w:t>
      </w:r>
      <w:r w:rsidR="00DF7FD2">
        <w:rPr>
          <w:rFonts w:cs="Segoe UI"/>
          <w:color w:val="212529"/>
          <w:lang w:val="en"/>
        </w:rPr>
        <w:t xml:space="preserve"> that </w:t>
      </w:r>
      <w:r w:rsidR="008716C3">
        <w:rPr>
          <w:rFonts w:cs="Segoe UI"/>
          <w:color w:val="212529"/>
          <w:lang w:val="en"/>
        </w:rPr>
        <w:t>the duty was breached</w:t>
      </w:r>
      <w:r w:rsidR="00DF7FD2">
        <w:rPr>
          <w:rFonts w:cs="Segoe UI"/>
          <w:color w:val="212529"/>
          <w:lang w:val="en"/>
        </w:rPr>
        <w:t>. This is proven by evidence that the standard of treatment given by the defendant to the claimant ‘fell below the standard expected of [the defe</w:t>
      </w:r>
      <w:r w:rsidR="000E5047">
        <w:rPr>
          <w:rFonts w:cs="Segoe UI"/>
          <w:color w:val="212529"/>
          <w:lang w:val="en"/>
        </w:rPr>
        <w:t>n</w:t>
      </w:r>
      <w:r w:rsidR="00DF7FD2">
        <w:rPr>
          <w:rFonts w:cs="Segoe UI"/>
          <w:color w:val="212529"/>
          <w:lang w:val="en"/>
        </w:rPr>
        <w:t>dant] by the law’.</w:t>
      </w:r>
      <w:r w:rsidR="00DF7FD2">
        <w:rPr>
          <w:rStyle w:val="EndnoteReference"/>
          <w:rFonts w:cs="Segoe UI"/>
          <w:color w:val="212529"/>
          <w:lang w:val="en"/>
        </w:rPr>
        <w:endnoteReference w:id="57"/>
      </w:r>
      <w:r w:rsidR="0056735B">
        <w:rPr>
          <w:rFonts w:cs="Segoe UI"/>
          <w:color w:val="212529"/>
          <w:lang w:val="en"/>
        </w:rPr>
        <w:t xml:space="preserve"> Finally, for the claim to succeed, the court must decide whether </w:t>
      </w:r>
      <w:r w:rsidR="009977F0">
        <w:rPr>
          <w:rFonts w:cs="Segoe UI"/>
          <w:color w:val="212529"/>
          <w:lang w:val="en"/>
        </w:rPr>
        <w:t>it is because of this su</w:t>
      </w:r>
      <w:r w:rsidR="00115C12">
        <w:rPr>
          <w:rFonts w:cs="Segoe UI"/>
          <w:color w:val="212529"/>
          <w:lang w:val="en"/>
        </w:rPr>
        <w:t>b</w:t>
      </w:r>
      <w:r w:rsidR="009977F0">
        <w:rPr>
          <w:rFonts w:cs="Segoe UI"/>
          <w:color w:val="212529"/>
          <w:lang w:val="en"/>
        </w:rPr>
        <w:t>-standard treatment th</w:t>
      </w:r>
      <w:r w:rsidR="00115C12">
        <w:rPr>
          <w:rFonts w:cs="Segoe UI"/>
          <w:color w:val="212529"/>
          <w:lang w:val="en"/>
        </w:rPr>
        <w:t>a</w:t>
      </w:r>
      <w:r w:rsidR="009977F0">
        <w:rPr>
          <w:rFonts w:cs="Segoe UI"/>
          <w:color w:val="212529"/>
          <w:lang w:val="en"/>
        </w:rPr>
        <w:t xml:space="preserve">t the claimant suffered a legally </w:t>
      </w:r>
      <w:proofErr w:type="spellStart"/>
      <w:r w:rsidR="009977F0">
        <w:rPr>
          <w:rFonts w:cs="Segoe UI"/>
          <w:color w:val="212529"/>
          <w:lang w:val="en"/>
        </w:rPr>
        <w:t>recognised</w:t>
      </w:r>
      <w:proofErr w:type="spellEnd"/>
      <w:r w:rsidR="009977F0">
        <w:rPr>
          <w:rFonts w:cs="Segoe UI"/>
          <w:color w:val="212529"/>
          <w:lang w:val="en"/>
        </w:rPr>
        <w:t xml:space="preserve"> harm.</w:t>
      </w:r>
      <w:r w:rsidR="009977F0">
        <w:rPr>
          <w:rStyle w:val="EndnoteReference"/>
          <w:rFonts w:cs="Segoe UI"/>
          <w:color w:val="212529"/>
          <w:lang w:val="en"/>
        </w:rPr>
        <w:endnoteReference w:id="58"/>
      </w:r>
      <w:r w:rsidR="00115C12">
        <w:rPr>
          <w:rFonts w:cs="Segoe UI"/>
          <w:color w:val="212529"/>
          <w:lang w:val="en"/>
        </w:rPr>
        <w:t xml:space="preserve"> In other words, did the defendant’s acts or omissions cause the harm</w:t>
      </w:r>
      <w:r w:rsidR="002A2E98">
        <w:rPr>
          <w:rFonts w:cs="Segoe UI"/>
          <w:color w:val="212529"/>
          <w:lang w:val="en"/>
        </w:rPr>
        <w:t xml:space="preserve">? </w:t>
      </w:r>
      <w:r w:rsidR="0050198A">
        <w:rPr>
          <w:rFonts w:cs="Segoe UI"/>
          <w:color w:val="212529"/>
          <w:lang w:val="en"/>
        </w:rPr>
        <w:t>H</w:t>
      </w:r>
      <w:r w:rsidR="002A2E98">
        <w:rPr>
          <w:rFonts w:cs="Segoe UI"/>
          <w:color w:val="212529"/>
          <w:lang w:val="en"/>
        </w:rPr>
        <w:t xml:space="preserve">arm </w:t>
      </w:r>
      <w:proofErr w:type="spellStart"/>
      <w:r w:rsidR="002A2E98">
        <w:rPr>
          <w:rFonts w:cs="Segoe UI"/>
          <w:color w:val="212529"/>
          <w:lang w:val="en"/>
        </w:rPr>
        <w:t>recognised</w:t>
      </w:r>
      <w:proofErr w:type="spellEnd"/>
      <w:r w:rsidR="002A2E98">
        <w:rPr>
          <w:rFonts w:cs="Segoe UI"/>
          <w:color w:val="212529"/>
          <w:lang w:val="en"/>
        </w:rPr>
        <w:t xml:space="preserve"> by the law as actionable and compensable or warranting damages include</w:t>
      </w:r>
      <w:r w:rsidR="0050198A">
        <w:rPr>
          <w:rFonts w:cs="Segoe UI"/>
          <w:color w:val="212529"/>
          <w:lang w:val="en"/>
        </w:rPr>
        <w:t>s</w:t>
      </w:r>
      <w:r w:rsidR="002A2E98">
        <w:rPr>
          <w:rFonts w:cs="Segoe UI"/>
          <w:color w:val="212529"/>
          <w:lang w:val="en"/>
        </w:rPr>
        <w:t xml:space="preserve"> physical injury or psychiatric illness. For claim</w:t>
      </w:r>
      <w:r w:rsidR="0050198A">
        <w:rPr>
          <w:rFonts w:cs="Segoe UI"/>
          <w:color w:val="212529"/>
          <w:lang w:val="en"/>
        </w:rPr>
        <w:t>s</w:t>
      </w:r>
      <w:r w:rsidR="002A2E98">
        <w:rPr>
          <w:rFonts w:cs="Segoe UI"/>
          <w:color w:val="212529"/>
          <w:lang w:val="en"/>
        </w:rPr>
        <w:t xml:space="preserve"> </w:t>
      </w:r>
      <w:r w:rsidR="00E407B0">
        <w:rPr>
          <w:rFonts w:cs="Segoe UI"/>
          <w:color w:val="212529"/>
          <w:lang w:val="en"/>
        </w:rPr>
        <w:t>of psychiatric damage t</w:t>
      </w:r>
      <w:r w:rsidR="002A2E98">
        <w:rPr>
          <w:rFonts w:cs="Segoe UI"/>
          <w:color w:val="212529"/>
          <w:lang w:val="en"/>
        </w:rPr>
        <w:t>o succeed, an identifiable psychiatric or psychological condition or illness</w:t>
      </w:r>
      <w:r w:rsidR="00E407B0">
        <w:rPr>
          <w:rFonts w:cs="Segoe UI"/>
          <w:color w:val="212529"/>
          <w:lang w:val="en"/>
        </w:rPr>
        <w:t xml:space="preserve"> must be proven</w:t>
      </w:r>
      <w:r w:rsidR="002A2E98">
        <w:rPr>
          <w:rFonts w:cs="Segoe UI"/>
          <w:color w:val="212529"/>
          <w:lang w:val="en"/>
        </w:rPr>
        <w:t xml:space="preserve">. Stress or distress can be a symptom or sign of such condition or illness. But </w:t>
      </w:r>
      <w:r w:rsidR="00E407B0">
        <w:rPr>
          <w:rFonts w:cs="Segoe UI"/>
          <w:color w:val="212529"/>
          <w:lang w:val="en"/>
        </w:rPr>
        <w:t>without evidence</w:t>
      </w:r>
      <w:r w:rsidR="002A2E98">
        <w:rPr>
          <w:rFonts w:cs="Segoe UI"/>
          <w:color w:val="212529"/>
          <w:lang w:val="en"/>
        </w:rPr>
        <w:t xml:space="preserve"> before the court of psychiatric illness or a psychological condition</w:t>
      </w:r>
      <w:r w:rsidR="00E407B0">
        <w:rPr>
          <w:rFonts w:cs="Segoe UI"/>
          <w:color w:val="212529"/>
          <w:lang w:val="en"/>
        </w:rPr>
        <w:t xml:space="preserve"> </w:t>
      </w:r>
      <w:r w:rsidR="002A2E98">
        <w:rPr>
          <w:rFonts w:cs="Segoe UI"/>
          <w:color w:val="212529"/>
          <w:lang w:val="en"/>
        </w:rPr>
        <w:t>the claim fails.</w:t>
      </w:r>
      <w:r w:rsidR="002A2E98">
        <w:rPr>
          <w:rStyle w:val="EndnoteReference"/>
          <w:rFonts w:cs="Segoe UI"/>
          <w:color w:val="212529"/>
          <w:lang w:val="en"/>
        </w:rPr>
        <w:endnoteReference w:id="59"/>
      </w:r>
    </w:p>
    <w:p w14:paraId="243A7504" w14:textId="0EBB1EBC" w:rsidR="00A92409" w:rsidRDefault="00A92409" w:rsidP="0095343B">
      <w:pPr>
        <w:spacing w:after="0" w:line="276" w:lineRule="auto"/>
        <w:jc w:val="both"/>
        <w:rPr>
          <w:rFonts w:cs="Segoe UI"/>
          <w:color w:val="212529"/>
          <w:lang w:val="en"/>
        </w:rPr>
      </w:pPr>
    </w:p>
    <w:p w14:paraId="3B96C027" w14:textId="71FC0E4A" w:rsidR="00A92409" w:rsidRPr="00DE3D44" w:rsidRDefault="00A92409" w:rsidP="0095343B">
      <w:pPr>
        <w:spacing w:after="0" w:line="276" w:lineRule="auto"/>
        <w:jc w:val="both"/>
        <w:rPr>
          <w:rFonts w:cs="Segoe UI"/>
          <w:color w:val="212529"/>
          <w:lang w:val="en"/>
        </w:rPr>
      </w:pPr>
      <w:r>
        <w:rPr>
          <w:rFonts w:cs="Segoe UI"/>
          <w:color w:val="212529"/>
          <w:lang w:val="en"/>
        </w:rPr>
        <w:t>Two further matters must be borne in mind</w:t>
      </w:r>
      <w:r w:rsidR="00DE3D44">
        <w:rPr>
          <w:rFonts w:cs="Segoe UI"/>
          <w:color w:val="212529"/>
          <w:lang w:val="en"/>
        </w:rPr>
        <w:t>.</w:t>
      </w:r>
      <w:r>
        <w:rPr>
          <w:rFonts w:cs="Segoe UI"/>
          <w:color w:val="212529"/>
          <w:lang w:val="en"/>
        </w:rPr>
        <w:t xml:space="preserve"> </w:t>
      </w:r>
      <w:r w:rsidR="005D53D3">
        <w:rPr>
          <w:rFonts w:cs="Segoe UI"/>
          <w:color w:val="212529"/>
          <w:lang w:val="en"/>
        </w:rPr>
        <w:t xml:space="preserve">Just as under consumer legislation, limitation periods apply. </w:t>
      </w:r>
      <w:r>
        <w:rPr>
          <w:rFonts w:cs="Segoe UI"/>
          <w:color w:val="212529"/>
          <w:lang w:val="en"/>
        </w:rPr>
        <w:t xml:space="preserve">First, the </w:t>
      </w:r>
      <w:r>
        <w:rPr>
          <w:rFonts w:cs="Segoe UI"/>
          <w:i/>
          <w:iCs/>
          <w:color w:val="212529"/>
          <w:lang w:val="en"/>
        </w:rPr>
        <w:t xml:space="preserve">Limitation Act </w:t>
      </w:r>
      <w:r>
        <w:rPr>
          <w:rFonts w:cs="Segoe UI"/>
          <w:color w:val="212529"/>
          <w:lang w:val="en"/>
        </w:rPr>
        <w:t>1980 requires that a claim for negligence must be lodged with the court by filing a statement of claim within three years of the conduct causing the damage complained</w:t>
      </w:r>
      <w:r w:rsidR="00DE3D44">
        <w:rPr>
          <w:rFonts w:cs="Segoe UI"/>
          <w:color w:val="212529"/>
          <w:lang w:val="en"/>
        </w:rPr>
        <w:t xml:space="preserve"> of</w:t>
      </w:r>
      <w:r>
        <w:rPr>
          <w:rFonts w:cs="Segoe UI"/>
          <w:color w:val="212529"/>
          <w:lang w:val="en"/>
        </w:rPr>
        <w:t xml:space="preserve">. </w:t>
      </w:r>
      <w:r w:rsidR="00DE3D44">
        <w:rPr>
          <w:rFonts w:cs="Segoe UI"/>
          <w:color w:val="212529"/>
          <w:lang w:val="en"/>
        </w:rPr>
        <w:t>T</w:t>
      </w:r>
      <w:r w:rsidR="00F23BAA">
        <w:rPr>
          <w:rFonts w:cs="Segoe UI"/>
          <w:color w:val="212529"/>
          <w:lang w:val="en"/>
        </w:rPr>
        <w:t xml:space="preserve">his rule can be varied, </w:t>
      </w:r>
      <w:r w:rsidR="00DE3D44">
        <w:rPr>
          <w:rFonts w:cs="Segoe UI"/>
          <w:color w:val="212529"/>
          <w:lang w:val="en"/>
        </w:rPr>
        <w:t>but in circumscribed circumstances. S</w:t>
      </w:r>
      <w:r w:rsidR="00F23BAA">
        <w:rPr>
          <w:rFonts w:cs="Segoe UI"/>
          <w:color w:val="212529"/>
          <w:lang w:val="en"/>
        </w:rPr>
        <w:t xml:space="preserve">ay </w:t>
      </w:r>
      <w:r>
        <w:rPr>
          <w:rFonts w:cs="Segoe UI"/>
          <w:color w:val="212529"/>
          <w:lang w:val="en"/>
        </w:rPr>
        <w:t>the damage is not discovered immediately</w:t>
      </w:r>
      <w:r w:rsidR="00F23BAA">
        <w:rPr>
          <w:rFonts w:cs="Segoe UI"/>
          <w:color w:val="212529"/>
          <w:lang w:val="en"/>
        </w:rPr>
        <w:t xml:space="preserve">. </w:t>
      </w:r>
      <w:r w:rsidR="005D53D3">
        <w:rPr>
          <w:rFonts w:cs="Segoe UI"/>
          <w:color w:val="212529"/>
          <w:lang w:val="en"/>
        </w:rPr>
        <w:t>As with the application of the limitation period principle under consumer legislation, t</w:t>
      </w:r>
      <w:r w:rsidR="00F23BAA">
        <w:rPr>
          <w:rFonts w:cs="Segoe UI"/>
          <w:color w:val="212529"/>
          <w:lang w:val="en"/>
        </w:rPr>
        <w:t xml:space="preserve">his can </w:t>
      </w:r>
      <w:r>
        <w:rPr>
          <w:rFonts w:cs="Segoe UI"/>
          <w:color w:val="212529"/>
          <w:lang w:val="en"/>
        </w:rPr>
        <w:t xml:space="preserve">happen with </w:t>
      </w:r>
      <w:r w:rsidR="00F23BAA">
        <w:rPr>
          <w:rFonts w:cs="Segoe UI"/>
          <w:color w:val="212529"/>
          <w:lang w:val="en"/>
        </w:rPr>
        <w:t>implants whether breast, or tooth and gum, fillers or other substances imported into the body by aesthetic, cosmetic or plastic surgeons, or other practitioners. Once the damage is known,</w:t>
      </w:r>
      <w:r w:rsidR="005D53D3">
        <w:rPr>
          <w:rFonts w:cs="Segoe UI"/>
          <w:color w:val="212529"/>
          <w:lang w:val="en"/>
        </w:rPr>
        <w:t xml:space="preserve"> </w:t>
      </w:r>
      <w:r w:rsidR="00F23BAA">
        <w:rPr>
          <w:rFonts w:cs="Segoe UI"/>
          <w:color w:val="212529"/>
          <w:lang w:val="en"/>
        </w:rPr>
        <w:t>or the claimant ought reasonably to have known of it, then the three-year limitation period begins running. If the time runs out before an action is instituted, then that puts an end to the claim.</w:t>
      </w:r>
      <w:r w:rsidR="009B3A87">
        <w:rPr>
          <w:rFonts w:cs="Segoe UI"/>
          <w:color w:val="212529"/>
          <w:lang w:val="en"/>
        </w:rPr>
        <w:t xml:space="preserve"> Secondly, </w:t>
      </w:r>
      <w:r w:rsidR="00DE3D44">
        <w:rPr>
          <w:rFonts w:cs="Segoe UI"/>
          <w:color w:val="212529"/>
          <w:lang w:val="en"/>
        </w:rPr>
        <w:t>a question o</w:t>
      </w:r>
      <w:r w:rsidR="009B3A87">
        <w:rPr>
          <w:rFonts w:cs="Segoe UI"/>
          <w:color w:val="212529"/>
          <w:lang w:val="en"/>
        </w:rPr>
        <w:t xml:space="preserve">f contributory negligence might arise. When a claim is lodged, the defendant may institute a </w:t>
      </w:r>
      <w:proofErr w:type="gramStart"/>
      <w:r w:rsidR="009B3A87">
        <w:rPr>
          <w:rFonts w:cs="Segoe UI"/>
          <w:color w:val="212529"/>
          <w:lang w:val="en"/>
        </w:rPr>
        <w:t>counter-claim</w:t>
      </w:r>
      <w:proofErr w:type="gramEnd"/>
      <w:r w:rsidR="009B3A87">
        <w:rPr>
          <w:rFonts w:cs="Segoe UI"/>
          <w:color w:val="212529"/>
          <w:lang w:val="en"/>
        </w:rPr>
        <w:t xml:space="preserve"> for contributory negligence, averring that the claimant herself contributed to the damage. Say that the claimant undergoes liposuction or implant surgery. She is told by the practitioner </w:t>
      </w:r>
      <w:r w:rsidR="009B3A87">
        <w:rPr>
          <w:rFonts w:cs="Segoe UI"/>
          <w:color w:val="212529"/>
          <w:lang w:val="en"/>
        </w:rPr>
        <w:lastRenderedPageBreak/>
        <w:t xml:space="preserve">not to exercise for several weeks, or to stick to gentle walks or slow, rhythmic movements that do not engage that part of the body which </w:t>
      </w:r>
      <w:r w:rsidR="00DE3D44">
        <w:rPr>
          <w:rFonts w:cs="Segoe UI"/>
          <w:color w:val="212529"/>
          <w:lang w:val="en"/>
        </w:rPr>
        <w:t>underwent</w:t>
      </w:r>
      <w:r w:rsidR="009B3A87">
        <w:rPr>
          <w:rFonts w:cs="Segoe UI"/>
          <w:color w:val="212529"/>
          <w:lang w:val="en"/>
        </w:rPr>
        <w:t xml:space="preserve"> the procedure. Contrary to advice, she begins back at the gym almost immediately, </w:t>
      </w:r>
      <w:r w:rsidR="00DE3D44">
        <w:rPr>
          <w:rFonts w:cs="Segoe UI"/>
          <w:color w:val="212529"/>
          <w:lang w:val="en"/>
        </w:rPr>
        <w:t>working out with dumbbells in a vigorous routine</w:t>
      </w:r>
      <w:r w:rsidR="005D53D3">
        <w:rPr>
          <w:rFonts w:cs="Segoe UI"/>
          <w:color w:val="212529"/>
          <w:lang w:val="en"/>
        </w:rPr>
        <w:t xml:space="preserve"> because she believes that exercise will help to reduce any prospect of fat, suctioned away by liposuction, returning</w:t>
      </w:r>
      <w:r w:rsidR="00DE3D44">
        <w:rPr>
          <w:rFonts w:cs="Segoe UI"/>
          <w:color w:val="212529"/>
          <w:lang w:val="en"/>
        </w:rPr>
        <w:t xml:space="preserve">. Or she </w:t>
      </w:r>
      <w:r w:rsidR="009B3A87">
        <w:rPr>
          <w:rFonts w:cs="Segoe UI"/>
          <w:color w:val="212529"/>
          <w:lang w:val="en"/>
        </w:rPr>
        <w:t xml:space="preserve">attends a bootcamp, taking part in long, strenuous walks </w:t>
      </w:r>
      <w:r w:rsidR="00571B99">
        <w:rPr>
          <w:rFonts w:cs="Segoe UI"/>
          <w:color w:val="212529"/>
          <w:lang w:val="en"/>
        </w:rPr>
        <w:t xml:space="preserve">and deep breathing exercises, showing off </w:t>
      </w:r>
      <w:r w:rsidR="009B3A87">
        <w:rPr>
          <w:rFonts w:cs="Segoe UI"/>
          <w:color w:val="212529"/>
          <w:lang w:val="en"/>
        </w:rPr>
        <w:t xml:space="preserve">her new contours. If her claim is accepted by the court, namely that there was a breach of duty owed by the defendant, that the defendant breached it, and that damage was caused thereby, the court may also find that </w:t>
      </w:r>
      <w:r w:rsidR="00DE3D44">
        <w:rPr>
          <w:rFonts w:cs="Segoe UI"/>
          <w:color w:val="212529"/>
          <w:lang w:val="en"/>
        </w:rPr>
        <w:t xml:space="preserve">the whole of the damage was </w:t>
      </w:r>
      <w:r w:rsidR="00DE3D44">
        <w:rPr>
          <w:rFonts w:cs="Segoe UI"/>
          <w:i/>
          <w:iCs/>
          <w:color w:val="212529"/>
          <w:lang w:val="en"/>
        </w:rPr>
        <w:t xml:space="preserve">not </w:t>
      </w:r>
      <w:r w:rsidR="00DE3D44">
        <w:rPr>
          <w:rFonts w:cs="Segoe UI"/>
          <w:color w:val="212529"/>
          <w:lang w:val="en"/>
        </w:rPr>
        <w:t>a result of the defendant’s conduct. Rather, the cause of the damage lies with both the defendant and the claimant. Compensation calculated as due to the claimant will therefore be cut down by the claimant’s contributory negligence. If the compensation is calculated at, say, £3</w:t>
      </w:r>
      <w:r w:rsidR="005D53D3">
        <w:rPr>
          <w:rFonts w:cs="Segoe UI"/>
          <w:color w:val="212529"/>
          <w:lang w:val="en"/>
        </w:rPr>
        <w:t>0</w:t>
      </w:r>
      <w:r w:rsidR="00DE3D44">
        <w:rPr>
          <w:rFonts w:cs="Segoe UI"/>
          <w:color w:val="212529"/>
          <w:lang w:val="en"/>
        </w:rPr>
        <w:t>,000, and the claimant’s contributory negligence is calculated at one-</w:t>
      </w:r>
      <w:r w:rsidR="005D53D3">
        <w:rPr>
          <w:rFonts w:cs="Segoe UI"/>
          <w:color w:val="212529"/>
          <w:lang w:val="en"/>
        </w:rPr>
        <w:t xml:space="preserve">half </w:t>
      </w:r>
      <w:r w:rsidR="00DE3D44">
        <w:rPr>
          <w:rFonts w:cs="Segoe UI"/>
          <w:color w:val="212529"/>
          <w:lang w:val="en"/>
        </w:rPr>
        <w:t xml:space="preserve">or </w:t>
      </w:r>
      <w:r w:rsidR="005D53D3">
        <w:rPr>
          <w:rFonts w:cs="Segoe UI"/>
          <w:color w:val="212529"/>
          <w:lang w:val="en"/>
        </w:rPr>
        <w:t>fifty</w:t>
      </w:r>
      <w:r w:rsidR="00DE3D44">
        <w:rPr>
          <w:rFonts w:cs="Segoe UI"/>
          <w:color w:val="212529"/>
          <w:lang w:val="en"/>
        </w:rPr>
        <w:t xml:space="preserve"> percent, the defendant will be ordered to pay her £</w:t>
      </w:r>
      <w:r w:rsidR="005D53D3">
        <w:rPr>
          <w:rFonts w:cs="Segoe UI"/>
          <w:color w:val="212529"/>
          <w:lang w:val="en"/>
        </w:rPr>
        <w:t>15</w:t>
      </w:r>
      <w:r w:rsidR="00DE3D44">
        <w:rPr>
          <w:rFonts w:cs="Segoe UI"/>
          <w:color w:val="212529"/>
          <w:lang w:val="en"/>
        </w:rPr>
        <w:t>,000 only.</w:t>
      </w:r>
    </w:p>
    <w:p w14:paraId="52A5602A" w14:textId="439C927E" w:rsidR="0095343B" w:rsidRDefault="0095343B" w:rsidP="0095343B">
      <w:pPr>
        <w:spacing w:after="0" w:line="276" w:lineRule="auto"/>
        <w:jc w:val="both"/>
        <w:rPr>
          <w:rFonts w:cs="Segoe UI"/>
          <w:color w:val="212529"/>
          <w:lang w:val="en"/>
        </w:rPr>
      </w:pPr>
    </w:p>
    <w:p w14:paraId="4950B0BF" w14:textId="17EA49CF" w:rsidR="0095343B" w:rsidRDefault="00571B99" w:rsidP="0095343B">
      <w:pPr>
        <w:pStyle w:val="Heading3"/>
        <w:spacing w:line="276" w:lineRule="auto"/>
        <w:jc w:val="both"/>
        <w:rPr>
          <w:rStyle w:val="Strong"/>
          <w:rFonts w:asciiTheme="minorHAnsi" w:hAnsiTheme="minorHAnsi"/>
          <w:b w:val="0"/>
          <w:bCs w:val="0"/>
          <w:sz w:val="22"/>
          <w:szCs w:val="22"/>
          <w:lang w:val="en"/>
        </w:rPr>
      </w:pPr>
      <w:r>
        <w:rPr>
          <w:rStyle w:val="Strong"/>
          <w:rFonts w:asciiTheme="minorHAnsi" w:hAnsiTheme="minorHAnsi"/>
          <w:b w:val="0"/>
          <w:bCs w:val="0"/>
          <w:sz w:val="22"/>
          <w:szCs w:val="22"/>
          <w:lang w:val="en"/>
        </w:rPr>
        <w:t>Returning then to beauty treatments, spas and hairdresser and beauty salons and ripe for investigation of h</w:t>
      </w:r>
      <w:r w:rsidR="0095343B">
        <w:rPr>
          <w:rStyle w:val="Strong"/>
          <w:rFonts w:asciiTheme="minorHAnsi" w:hAnsiTheme="minorHAnsi"/>
          <w:b w:val="0"/>
          <w:bCs w:val="0"/>
          <w:sz w:val="22"/>
          <w:szCs w:val="22"/>
          <w:lang w:val="en"/>
        </w:rPr>
        <w:t>ow th</w:t>
      </w:r>
      <w:r>
        <w:rPr>
          <w:rStyle w:val="Strong"/>
          <w:rFonts w:asciiTheme="minorHAnsi" w:hAnsiTheme="minorHAnsi"/>
          <w:b w:val="0"/>
          <w:bCs w:val="0"/>
          <w:sz w:val="22"/>
          <w:szCs w:val="22"/>
          <w:lang w:val="en"/>
        </w:rPr>
        <w:t>e</w:t>
      </w:r>
      <w:r w:rsidR="0095343B">
        <w:rPr>
          <w:rStyle w:val="Strong"/>
          <w:rFonts w:asciiTheme="minorHAnsi" w:hAnsiTheme="minorHAnsi"/>
          <w:b w:val="0"/>
          <w:bCs w:val="0"/>
          <w:sz w:val="22"/>
          <w:szCs w:val="22"/>
          <w:lang w:val="en"/>
        </w:rPr>
        <w:t xml:space="preserve"> law appl</w:t>
      </w:r>
      <w:r>
        <w:rPr>
          <w:rStyle w:val="Strong"/>
          <w:rFonts w:asciiTheme="minorHAnsi" w:hAnsiTheme="minorHAnsi"/>
          <w:b w:val="0"/>
          <w:bCs w:val="0"/>
          <w:sz w:val="22"/>
          <w:szCs w:val="22"/>
          <w:lang w:val="en"/>
        </w:rPr>
        <w:t>ies.</w:t>
      </w:r>
      <w:r w:rsidR="0095343B">
        <w:rPr>
          <w:rStyle w:val="Strong"/>
          <w:rFonts w:asciiTheme="minorHAnsi" w:hAnsiTheme="minorHAnsi"/>
          <w:b w:val="0"/>
          <w:bCs w:val="0"/>
          <w:sz w:val="22"/>
          <w:szCs w:val="22"/>
          <w:lang w:val="en"/>
        </w:rPr>
        <w:t xml:space="preserve"> Take the hairdresser example. A regular at the salon, the client has a standard appointment including a permanent or semi-permanent </w:t>
      </w:r>
      <w:proofErr w:type="spellStart"/>
      <w:r w:rsidR="0095343B">
        <w:rPr>
          <w:rStyle w:val="Strong"/>
          <w:rFonts w:asciiTheme="minorHAnsi" w:hAnsiTheme="minorHAnsi"/>
          <w:b w:val="0"/>
          <w:bCs w:val="0"/>
          <w:sz w:val="22"/>
          <w:szCs w:val="22"/>
          <w:lang w:val="en"/>
        </w:rPr>
        <w:t>colour</w:t>
      </w:r>
      <w:proofErr w:type="spellEnd"/>
      <w:r w:rsidR="0095343B">
        <w:rPr>
          <w:rStyle w:val="Strong"/>
          <w:rFonts w:asciiTheme="minorHAnsi" w:hAnsiTheme="minorHAnsi"/>
          <w:b w:val="0"/>
          <w:bCs w:val="0"/>
          <w:sz w:val="22"/>
          <w:szCs w:val="22"/>
          <w:lang w:val="en"/>
        </w:rPr>
        <w:t xml:space="preserve">. Throughout </w:t>
      </w:r>
      <w:r w:rsidR="00011EF8">
        <w:rPr>
          <w:rStyle w:val="Strong"/>
          <w:rFonts w:asciiTheme="minorHAnsi" w:hAnsiTheme="minorHAnsi"/>
          <w:b w:val="0"/>
          <w:bCs w:val="0"/>
          <w:sz w:val="22"/>
          <w:szCs w:val="22"/>
          <w:lang w:val="en"/>
        </w:rPr>
        <w:t xml:space="preserve">her time as a client, </w:t>
      </w:r>
      <w:r w:rsidR="00A33E12">
        <w:rPr>
          <w:rStyle w:val="Strong"/>
          <w:rFonts w:asciiTheme="minorHAnsi" w:hAnsiTheme="minorHAnsi"/>
          <w:b w:val="0"/>
          <w:bCs w:val="0"/>
          <w:sz w:val="22"/>
          <w:szCs w:val="22"/>
          <w:lang w:val="en"/>
        </w:rPr>
        <w:t>the woman’s</w:t>
      </w:r>
      <w:r w:rsidR="0095343B">
        <w:rPr>
          <w:rStyle w:val="Strong"/>
          <w:rFonts w:asciiTheme="minorHAnsi" w:hAnsiTheme="minorHAnsi"/>
          <w:b w:val="0"/>
          <w:bCs w:val="0"/>
          <w:sz w:val="22"/>
          <w:szCs w:val="22"/>
          <w:lang w:val="en"/>
        </w:rPr>
        <w:t xml:space="preserve"> hair has been </w:t>
      </w:r>
      <w:proofErr w:type="spellStart"/>
      <w:r w:rsidR="0095343B">
        <w:rPr>
          <w:rStyle w:val="Strong"/>
          <w:rFonts w:asciiTheme="minorHAnsi" w:hAnsiTheme="minorHAnsi"/>
          <w:b w:val="0"/>
          <w:bCs w:val="0"/>
          <w:sz w:val="22"/>
          <w:szCs w:val="22"/>
          <w:lang w:val="en"/>
        </w:rPr>
        <w:t>coloured</w:t>
      </w:r>
      <w:proofErr w:type="spellEnd"/>
      <w:r w:rsidR="0095343B">
        <w:rPr>
          <w:rStyle w:val="Strong"/>
          <w:rFonts w:asciiTheme="minorHAnsi" w:hAnsiTheme="minorHAnsi"/>
          <w:b w:val="0"/>
          <w:bCs w:val="0"/>
          <w:sz w:val="22"/>
          <w:szCs w:val="22"/>
          <w:lang w:val="en"/>
        </w:rPr>
        <w:t xml:space="preserve"> with a particular product. The salon decides to try a new hair dye, fails to do a test </w:t>
      </w:r>
      <w:r w:rsidR="00A33E12">
        <w:rPr>
          <w:rStyle w:val="Strong"/>
          <w:rFonts w:asciiTheme="minorHAnsi" w:hAnsiTheme="minorHAnsi"/>
          <w:b w:val="0"/>
          <w:bCs w:val="0"/>
          <w:sz w:val="22"/>
          <w:szCs w:val="22"/>
          <w:lang w:val="en"/>
        </w:rPr>
        <w:t>on the client</w:t>
      </w:r>
      <w:r w:rsidR="0050198A">
        <w:rPr>
          <w:rStyle w:val="Strong"/>
          <w:rFonts w:asciiTheme="minorHAnsi" w:hAnsiTheme="minorHAnsi"/>
          <w:b w:val="0"/>
          <w:bCs w:val="0"/>
          <w:sz w:val="22"/>
          <w:szCs w:val="22"/>
          <w:lang w:val="en"/>
        </w:rPr>
        <w:t>,</w:t>
      </w:r>
      <w:r w:rsidR="0095343B">
        <w:rPr>
          <w:rStyle w:val="Strong"/>
          <w:rFonts w:asciiTheme="minorHAnsi" w:hAnsiTheme="minorHAnsi"/>
          <w:b w:val="0"/>
          <w:bCs w:val="0"/>
          <w:sz w:val="22"/>
          <w:szCs w:val="22"/>
          <w:lang w:val="en"/>
        </w:rPr>
        <w:t xml:space="preserve"> and the client experiences an allergic reaction to the dye. Suffering a fainting fit, she </w:t>
      </w:r>
      <w:r w:rsidR="004E1154">
        <w:rPr>
          <w:rStyle w:val="Strong"/>
          <w:rFonts w:asciiTheme="minorHAnsi" w:hAnsiTheme="minorHAnsi"/>
          <w:b w:val="0"/>
          <w:bCs w:val="0"/>
          <w:sz w:val="22"/>
          <w:szCs w:val="22"/>
          <w:lang w:val="en"/>
        </w:rPr>
        <w:t xml:space="preserve">is </w:t>
      </w:r>
      <w:r w:rsidR="0095343B">
        <w:rPr>
          <w:rStyle w:val="Strong"/>
          <w:rFonts w:asciiTheme="minorHAnsi" w:hAnsiTheme="minorHAnsi"/>
          <w:b w:val="0"/>
          <w:bCs w:val="0"/>
          <w:sz w:val="22"/>
          <w:szCs w:val="22"/>
          <w:lang w:val="en"/>
        </w:rPr>
        <w:t>sent home in a taxi at the salon’s expense. Overnight</w:t>
      </w:r>
      <w:r w:rsidR="004E1154">
        <w:rPr>
          <w:rStyle w:val="Strong"/>
          <w:rFonts w:asciiTheme="minorHAnsi" w:hAnsiTheme="minorHAnsi"/>
          <w:b w:val="0"/>
          <w:bCs w:val="0"/>
          <w:sz w:val="22"/>
          <w:szCs w:val="22"/>
          <w:lang w:val="en"/>
        </w:rPr>
        <w:t xml:space="preserve">, a severe rash breaks out all </w:t>
      </w:r>
      <w:r w:rsidR="0095343B">
        <w:rPr>
          <w:rStyle w:val="Strong"/>
          <w:rFonts w:asciiTheme="minorHAnsi" w:hAnsiTheme="minorHAnsi"/>
          <w:b w:val="0"/>
          <w:bCs w:val="0"/>
          <w:sz w:val="22"/>
          <w:szCs w:val="22"/>
          <w:lang w:val="en"/>
        </w:rPr>
        <w:t xml:space="preserve">over her body, her scalp develops suppurating boils, her hair </w:t>
      </w:r>
      <w:r w:rsidR="004E1154">
        <w:rPr>
          <w:rStyle w:val="Strong"/>
          <w:rFonts w:asciiTheme="minorHAnsi" w:hAnsiTheme="minorHAnsi"/>
          <w:b w:val="0"/>
          <w:bCs w:val="0"/>
          <w:sz w:val="22"/>
          <w:szCs w:val="22"/>
          <w:lang w:val="en"/>
        </w:rPr>
        <w:t xml:space="preserve">falls </w:t>
      </w:r>
      <w:r w:rsidR="0095343B">
        <w:rPr>
          <w:rStyle w:val="Strong"/>
          <w:rFonts w:asciiTheme="minorHAnsi" w:hAnsiTheme="minorHAnsi"/>
          <w:b w:val="0"/>
          <w:bCs w:val="0"/>
          <w:sz w:val="22"/>
          <w:szCs w:val="22"/>
          <w:lang w:val="en"/>
        </w:rPr>
        <w:t xml:space="preserve">limp and lifeless. The injury is caused by the hair dye, the salon owes the client a duty of care arising from the relationship between the client and the salon. The </w:t>
      </w:r>
      <w:r w:rsidR="004E1154">
        <w:rPr>
          <w:rStyle w:val="Strong"/>
          <w:rFonts w:asciiTheme="minorHAnsi" w:hAnsiTheme="minorHAnsi"/>
          <w:b w:val="0"/>
          <w:bCs w:val="0"/>
          <w:sz w:val="22"/>
          <w:szCs w:val="22"/>
          <w:lang w:val="en"/>
        </w:rPr>
        <w:t xml:space="preserve">breach of </w:t>
      </w:r>
      <w:r w:rsidR="0095343B">
        <w:rPr>
          <w:rStyle w:val="Strong"/>
          <w:rFonts w:asciiTheme="minorHAnsi" w:hAnsiTheme="minorHAnsi"/>
          <w:b w:val="0"/>
          <w:bCs w:val="0"/>
          <w:sz w:val="22"/>
          <w:szCs w:val="22"/>
          <w:lang w:val="en"/>
        </w:rPr>
        <w:t xml:space="preserve">duty </w:t>
      </w:r>
      <w:r w:rsidR="004E1154">
        <w:rPr>
          <w:rStyle w:val="Strong"/>
          <w:rFonts w:asciiTheme="minorHAnsi" w:hAnsiTheme="minorHAnsi"/>
          <w:b w:val="0"/>
          <w:bCs w:val="0"/>
          <w:sz w:val="22"/>
          <w:szCs w:val="22"/>
          <w:lang w:val="en"/>
        </w:rPr>
        <w:t xml:space="preserve">lies in </w:t>
      </w:r>
      <w:r w:rsidR="0095343B">
        <w:rPr>
          <w:rStyle w:val="Strong"/>
          <w:rFonts w:asciiTheme="minorHAnsi" w:hAnsiTheme="minorHAnsi"/>
          <w:b w:val="0"/>
          <w:bCs w:val="0"/>
          <w:sz w:val="22"/>
          <w:szCs w:val="22"/>
          <w:lang w:val="en"/>
        </w:rPr>
        <w:t xml:space="preserve">the failure to test the new product on the client 24 or 48 hours </w:t>
      </w:r>
      <w:r w:rsidR="004E1154">
        <w:rPr>
          <w:rStyle w:val="Strong"/>
          <w:rFonts w:asciiTheme="minorHAnsi" w:hAnsiTheme="minorHAnsi"/>
          <w:b w:val="0"/>
          <w:bCs w:val="0"/>
          <w:sz w:val="22"/>
          <w:szCs w:val="22"/>
          <w:lang w:val="en"/>
        </w:rPr>
        <w:t xml:space="preserve">ahead of </w:t>
      </w:r>
      <w:r w:rsidR="0095343B">
        <w:rPr>
          <w:rStyle w:val="Strong"/>
          <w:rFonts w:asciiTheme="minorHAnsi" w:hAnsiTheme="minorHAnsi"/>
          <w:b w:val="0"/>
          <w:bCs w:val="0"/>
          <w:sz w:val="22"/>
          <w:szCs w:val="22"/>
          <w:lang w:val="en"/>
        </w:rPr>
        <w:t>the appointment</w:t>
      </w:r>
      <w:r w:rsidR="00A33E12">
        <w:rPr>
          <w:rStyle w:val="Strong"/>
          <w:rFonts w:asciiTheme="minorHAnsi" w:hAnsiTheme="minorHAnsi"/>
          <w:b w:val="0"/>
          <w:bCs w:val="0"/>
          <w:sz w:val="22"/>
          <w:szCs w:val="22"/>
          <w:lang w:val="en"/>
        </w:rPr>
        <w:t xml:space="preserve"> and us</w:t>
      </w:r>
      <w:r w:rsidR="0050198A">
        <w:rPr>
          <w:rStyle w:val="Strong"/>
          <w:rFonts w:asciiTheme="minorHAnsi" w:hAnsiTheme="minorHAnsi"/>
          <w:b w:val="0"/>
          <w:bCs w:val="0"/>
          <w:sz w:val="22"/>
          <w:szCs w:val="22"/>
          <w:lang w:val="en"/>
        </w:rPr>
        <w:t>ing</w:t>
      </w:r>
      <w:r w:rsidR="00A33E12">
        <w:rPr>
          <w:rStyle w:val="Strong"/>
          <w:rFonts w:asciiTheme="minorHAnsi" w:hAnsiTheme="minorHAnsi"/>
          <w:b w:val="0"/>
          <w:bCs w:val="0"/>
          <w:sz w:val="22"/>
          <w:szCs w:val="22"/>
          <w:lang w:val="en"/>
        </w:rPr>
        <w:t xml:space="preserve"> the new product without this caution</w:t>
      </w:r>
      <w:r w:rsidR="0095343B">
        <w:rPr>
          <w:rStyle w:val="Strong"/>
          <w:rFonts w:asciiTheme="minorHAnsi" w:hAnsiTheme="minorHAnsi"/>
          <w:b w:val="0"/>
          <w:bCs w:val="0"/>
          <w:sz w:val="22"/>
          <w:szCs w:val="22"/>
          <w:lang w:val="en"/>
        </w:rPr>
        <w:t xml:space="preserve">. Had the test been done, the danger would have been </w:t>
      </w:r>
      <w:proofErr w:type="gramStart"/>
      <w:r w:rsidR="0095343B">
        <w:rPr>
          <w:rStyle w:val="Strong"/>
          <w:rFonts w:asciiTheme="minorHAnsi" w:hAnsiTheme="minorHAnsi"/>
          <w:b w:val="0"/>
          <w:bCs w:val="0"/>
          <w:sz w:val="22"/>
          <w:szCs w:val="22"/>
          <w:lang w:val="en"/>
        </w:rPr>
        <w:t>evident</w:t>
      </w:r>
      <w:proofErr w:type="gramEnd"/>
      <w:r w:rsidR="0095343B">
        <w:rPr>
          <w:rStyle w:val="Strong"/>
          <w:rFonts w:asciiTheme="minorHAnsi" w:hAnsiTheme="minorHAnsi"/>
          <w:b w:val="0"/>
          <w:bCs w:val="0"/>
          <w:sz w:val="22"/>
          <w:szCs w:val="22"/>
          <w:lang w:val="en"/>
        </w:rPr>
        <w:t xml:space="preserve"> and disaster averted. Failure to test </w:t>
      </w:r>
      <w:r w:rsidR="004E1154">
        <w:rPr>
          <w:rStyle w:val="Strong"/>
          <w:rFonts w:asciiTheme="minorHAnsi" w:hAnsiTheme="minorHAnsi"/>
          <w:b w:val="0"/>
          <w:bCs w:val="0"/>
          <w:sz w:val="22"/>
          <w:szCs w:val="22"/>
          <w:lang w:val="en"/>
        </w:rPr>
        <w:t xml:space="preserve">opened </w:t>
      </w:r>
      <w:r w:rsidR="0095343B">
        <w:rPr>
          <w:rStyle w:val="Strong"/>
          <w:rFonts w:asciiTheme="minorHAnsi" w:hAnsiTheme="minorHAnsi"/>
          <w:b w:val="0"/>
          <w:bCs w:val="0"/>
          <w:sz w:val="22"/>
          <w:szCs w:val="22"/>
          <w:lang w:val="en"/>
        </w:rPr>
        <w:t xml:space="preserve">the client </w:t>
      </w:r>
      <w:r w:rsidR="00A33E12">
        <w:rPr>
          <w:rStyle w:val="Strong"/>
          <w:rFonts w:asciiTheme="minorHAnsi" w:hAnsiTheme="minorHAnsi"/>
          <w:b w:val="0"/>
          <w:bCs w:val="0"/>
          <w:sz w:val="22"/>
          <w:szCs w:val="22"/>
          <w:lang w:val="en"/>
        </w:rPr>
        <w:t xml:space="preserve">to suffering </w:t>
      </w:r>
      <w:r w:rsidR="0095343B">
        <w:rPr>
          <w:rStyle w:val="Strong"/>
          <w:rFonts w:asciiTheme="minorHAnsi" w:hAnsiTheme="minorHAnsi"/>
          <w:b w:val="0"/>
          <w:bCs w:val="0"/>
          <w:sz w:val="22"/>
          <w:szCs w:val="22"/>
          <w:lang w:val="en"/>
        </w:rPr>
        <w:t xml:space="preserve">physical injury. </w:t>
      </w:r>
      <w:proofErr w:type="gramStart"/>
      <w:r w:rsidR="0095343B">
        <w:rPr>
          <w:rStyle w:val="Strong"/>
          <w:rFonts w:asciiTheme="minorHAnsi" w:hAnsiTheme="minorHAnsi"/>
          <w:b w:val="0"/>
          <w:bCs w:val="0"/>
          <w:sz w:val="22"/>
          <w:szCs w:val="22"/>
          <w:lang w:val="en"/>
        </w:rPr>
        <w:t>As long as</w:t>
      </w:r>
      <w:proofErr w:type="gramEnd"/>
      <w:r w:rsidR="0095343B">
        <w:rPr>
          <w:rStyle w:val="Strong"/>
          <w:rFonts w:asciiTheme="minorHAnsi" w:hAnsiTheme="minorHAnsi"/>
          <w:b w:val="0"/>
          <w:bCs w:val="0"/>
          <w:sz w:val="22"/>
          <w:szCs w:val="22"/>
          <w:lang w:val="en"/>
        </w:rPr>
        <w:t xml:space="preserve"> the connection can be made between the dye and the reaction, the claim </w:t>
      </w:r>
      <w:r w:rsidR="000E6034">
        <w:rPr>
          <w:rStyle w:val="Strong"/>
          <w:rFonts w:asciiTheme="minorHAnsi" w:hAnsiTheme="minorHAnsi"/>
          <w:b w:val="0"/>
          <w:bCs w:val="0"/>
          <w:sz w:val="22"/>
          <w:szCs w:val="22"/>
          <w:lang w:val="en"/>
        </w:rPr>
        <w:t xml:space="preserve">is likely to </w:t>
      </w:r>
      <w:r w:rsidR="0095343B">
        <w:rPr>
          <w:rStyle w:val="Strong"/>
          <w:rFonts w:asciiTheme="minorHAnsi" w:hAnsiTheme="minorHAnsi"/>
          <w:b w:val="0"/>
          <w:bCs w:val="0"/>
          <w:sz w:val="22"/>
          <w:szCs w:val="22"/>
          <w:lang w:val="en"/>
        </w:rPr>
        <w:t xml:space="preserve">succeed. Or </w:t>
      </w:r>
      <w:r w:rsidR="00A33E12">
        <w:rPr>
          <w:rStyle w:val="Strong"/>
          <w:rFonts w:asciiTheme="minorHAnsi" w:hAnsiTheme="minorHAnsi"/>
          <w:b w:val="0"/>
          <w:bCs w:val="0"/>
          <w:sz w:val="22"/>
          <w:szCs w:val="22"/>
          <w:lang w:val="en"/>
        </w:rPr>
        <w:t xml:space="preserve">say </w:t>
      </w:r>
      <w:r w:rsidR="0095343B">
        <w:rPr>
          <w:rStyle w:val="Strong"/>
          <w:rFonts w:asciiTheme="minorHAnsi" w:hAnsiTheme="minorHAnsi"/>
          <w:b w:val="0"/>
          <w:bCs w:val="0"/>
          <w:sz w:val="22"/>
          <w:szCs w:val="22"/>
          <w:lang w:val="en"/>
        </w:rPr>
        <w:t xml:space="preserve">the appointment was to fix </w:t>
      </w:r>
      <w:r w:rsidR="00A33E12">
        <w:rPr>
          <w:rStyle w:val="Strong"/>
          <w:rFonts w:asciiTheme="minorHAnsi" w:hAnsiTheme="minorHAnsi"/>
          <w:b w:val="0"/>
          <w:bCs w:val="0"/>
          <w:sz w:val="22"/>
          <w:szCs w:val="22"/>
          <w:lang w:val="en"/>
        </w:rPr>
        <w:t xml:space="preserve">the client’s </w:t>
      </w:r>
      <w:r w:rsidR="0095343B">
        <w:rPr>
          <w:rStyle w:val="Strong"/>
          <w:rFonts w:asciiTheme="minorHAnsi" w:hAnsiTheme="minorHAnsi"/>
          <w:b w:val="0"/>
          <w:bCs w:val="0"/>
          <w:sz w:val="22"/>
          <w:szCs w:val="22"/>
          <w:lang w:val="en"/>
        </w:rPr>
        <w:t>hair for a special night out. She displays proudly a temporary black henna tattoo fixed on her left shoulder and one on her right forearm, done to impress her friends. She asks the hairdresser to select a contrasting dye for her hair. The dye is applied from existing stock, and just as she leaves the salon</w:t>
      </w:r>
      <w:r w:rsidR="00A33E12">
        <w:rPr>
          <w:rStyle w:val="Strong"/>
          <w:rFonts w:asciiTheme="minorHAnsi" w:hAnsiTheme="minorHAnsi"/>
          <w:b w:val="0"/>
          <w:bCs w:val="0"/>
          <w:sz w:val="22"/>
          <w:szCs w:val="22"/>
          <w:lang w:val="en"/>
        </w:rPr>
        <w:t xml:space="preserve"> and later at home</w:t>
      </w:r>
      <w:r w:rsidR="0095343B">
        <w:rPr>
          <w:rStyle w:val="Strong"/>
          <w:rFonts w:asciiTheme="minorHAnsi" w:hAnsiTheme="minorHAnsi"/>
          <w:b w:val="0"/>
          <w:bCs w:val="0"/>
          <w:sz w:val="22"/>
          <w:szCs w:val="22"/>
          <w:lang w:val="en"/>
        </w:rPr>
        <w:t>, she suffers fainting, boils, rash, and hair limp and lifeless. She misses the party, her condition worsens overnight, an ambulance rushes her to hospital where</w:t>
      </w:r>
      <w:r w:rsidR="00A33E12">
        <w:rPr>
          <w:rStyle w:val="Strong"/>
          <w:rFonts w:asciiTheme="minorHAnsi" w:hAnsiTheme="minorHAnsi"/>
          <w:b w:val="0"/>
          <w:bCs w:val="0"/>
          <w:sz w:val="22"/>
          <w:szCs w:val="22"/>
          <w:lang w:val="en"/>
        </w:rPr>
        <w:t>, having suffered a serious anaphylactic reaction,</w:t>
      </w:r>
      <w:r w:rsidR="0095343B">
        <w:rPr>
          <w:rStyle w:val="Strong"/>
          <w:rFonts w:asciiTheme="minorHAnsi" w:hAnsiTheme="minorHAnsi"/>
          <w:b w:val="0"/>
          <w:bCs w:val="0"/>
          <w:sz w:val="22"/>
          <w:szCs w:val="22"/>
          <w:lang w:val="en"/>
        </w:rPr>
        <w:t xml:space="preserve"> she is bedridden for days. The breach of duty of care lies in the salon’s</w:t>
      </w:r>
      <w:r w:rsidR="00A33E12">
        <w:rPr>
          <w:rStyle w:val="Strong"/>
          <w:rFonts w:asciiTheme="minorHAnsi" w:hAnsiTheme="minorHAnsi"/>
          <w:b w:val="0"/>
          <w:bCs w:val="0"/>
          <w:sz w:val="22"/>
          <w:szCs w:val="22"/>
          <w:lang w:val="en"/>
        </w:rPr>
        <w:t xml:space="preserve"> applying the hair dye having failed </w:t>
      </w:r>
      <w:r w:rsidR="0095343B">
        <w:rPr>
          <w:rStyle w:val="Strong"/>
          <w:rFonts w:asciiTheme="minorHAnsi" w:hAnsiTheme="minorHAnsi"/>
          <w:b w:val="0"/>
          <w:bCs w:val="0"/>
          <w:sz w:val="22"/>
          <w:szCs w:val="22"/>
          <w:lang w:val="en"/>
        </w:rPr>
        <w:t>to ask whether the tattoo was ‘black henna’</w:t>
      </w:r>
      <w:r w:rsidR="00A33E12">
        <w:rPr>
          <w:rStyle w:val="Strong"/>
          <w:rFonts w:asciiTheme="minorHAnsi" w:hAnsiTheme="minorHAnsi"/>
          <w:b w:val="0"/>
          <w:bCs w:val="0"/>
          <w:sz w:val="22"/>
          <w:szCs w:val="22"/>
          <w:lang w:val="en"/>
        </w:rPr>
        <w:t xml:space="preserve">. This is crucial, for black henna </w:t>
      </w:r>
      <w:r w:rsidR="0095343B">
        <w:rPr>
          <w:rStyle w:val="Strong"/>
          <w:rFonts w:asciiTheme="minorHAnsi" w:hAnsiTheme="minorHAnsi"/>
          <w:b w:val="0"/>
          <w:bCs w:val="0"/>
          <w:sz w:val="22"/>
          <w:szCs w:val="22"/>
          <w:lang w:val="en"/>
        </w:rPr>
        <w:t>carries illegally high levels of PPD or paraphenylenediamine, a chemical in hair dye at maximum levels controlled by law.  PPD levels in black henna tattoos c</w:t>
      </w:r>
      <w:r w:rsidR="00A33E12">
        <w:rPr>
          <w:rStyle w:val="Strong"/>
          <w:rFonts w:asciiTheme="minorHAnsi" w:hAnsiTheme="minorHAnsi"/>
          <w:b w:val="0"/>
          <w:bCs w:val="0"/>
          <w:sz w:val="22"/>
          <w:szCs w:val="22"/>
          <w:lang w:val="en"/>
        </w:rPr>
        <w:t xml:space="preserve">an render </w:t>
      </w:r>
      <w:r w:rsidR="0095343B">
        <w:rPr>
          <w:rStyle w:val="Strong"/>
          <w:rFonts w:asciiTheme="minorHAnsi" w:hAnsiTheme="minorHAnsi"/>
          <w:b w:val="0"/>
          <w:bCs w:val="0"/>
          <w:sz w:val="22"/>
          <w:szCs w:val="22"/>
          <w:lang w:val="en"/>
        </w:rPr>
        <w:t xml:space="preserve">a person highly sensitive to PPD in hair </w:t>
      </w:r>
      <w:proofErr w:type="spellStart"/>
      <w:r w:rsidR="0095343B">
        <w:rPr>
          <w:rStyle w:val="Strong"/>
          <w:rFonts w:asciiTheme="minorHAnsi" w:hAnsiTheme="minorHAnsi"/>
          <w:b w:val="0"/>
          <w:bCs w:val="0"/>
          <w:sz w:val="22"/>
          <w:szCs w:val="22"/>
          <w:lang w:val="en"/>
        </w:rPr>
        <w:t>colour</w:t>
      </w:r>
      <w:proofErr w:type="spellEnd"/>
      <w:r w:rsidR="0095343B">
        <w:rPr>
          <w:rStyle w:val="Strong"/>
          <w:rFonts w:asciiTheme="minorHAnsi" w:hAnsiTheme="minorHAnsi"/>
          <w:b w:val="0"/>
          <w:bCs w:val="0"/>
          <w:sz w:val="22"/>
          <w:szCs w:val="22"/>
          <w:lang w:val="en"/>
        </w:rPr>
        <w:t xml:space="preserve">, despite the hair dye having been used safely </w:t>
      </w:r>
      <w:r w:rsidR="00A33E12">
        <w:rPr>
          <w:rStyle w:val="Strong"/>
          <w:rFonts w:asciiTheme="minorHAnsi" w:hAnsiTheme="minorHAnsi"/>
          <w:b w:val="0"/>
          <w:bCs w:val="0"/>
          <w:sz w:val="22"/>
          <w:szCs w:val="22"/>
          <w:lang w:val="en"/>
        </w:rPr>
        <w:t>on the client previously.</w:t>
      </w:r>
      <w:r w:rsidR="0095343B">
        <w:rPr>
          <w:rStyle w:val="Strong"/>
          <w:rFonts w:asciiTheme="minorHAnsi" w:hAnsiTheme="minorHAnsi"/>
          <w:b w:val="0"/>
          <w:bCs w:val="0"/>
          <w:sz w:val="22"/>
          <w:szCs w:val="22"/>
          <w:lang w:val="en"/>
        </w:rPr>
        <w:t xml:space="preserve"> </w:t>
      </w:r>
      <w:r w:rsidR="0050198A">
        <w:rPr>
          <w:rStyle w:val="Strong"/>
          <w:rFonts w:asciiTheme="minorHAnsi" w:hAnsiTheme="minorHAnsi"/>
          <w:b w:val="0"/>
          <w:bCs w:val="0"/>
          <w:sz w:val="22"/>
          <w:szCs w:val="22"/>
          <w:lang w:val="en"/>
        </w:rPr>
        <w:t xml:space="preserve">The case rests on the </w:t>
      </w:r>
      <w:r w:rsidR="00512C71">
        <w:rPr>
          <w:rStyle w:val="Strong"/>
          <w:rFonts w:asciiTheme="minorHAnsi" w:hAnsiTheme="minorHAnsi"/>
          <w:b w:val="0"/>
          <w:bCs w:val="0"/>
          <w:sz w:val="22"/>
          <w:szCs w:val="22"/>
          <w:lang w:val="en"/>
        </w:rPr>
        <w:t>salon kn</w:t>
      </w:r>
      <w:r w:rsidR="0050198A">
        <w:rPr>
          <w:rStyle w:val="Strong"/>
          <w:rFonts w:asciiTheme="minorHAnsi" w:hAnsiTheme="minorHAnsi"/>
          <w:b w:val="0"/>
          <w:bCs w:val="0"/>
          <w:sz w:val="22"/>
          <w:szCs w:val="22"/>
          <w:lang w:val="en"/>
        </w:rPr>
        <w:t>owing, or that it</w:t>
      </w:r>
      <w:r w:rsidR="00512C71">
        <w:rPr>
          <w:rStyle w:val="Strong"/>
          <w:rFonts w:asciiTheme="minorHAnsi" w:hAnsiTheme="minorHAnsi"/>
          <w:b w:val="0"/>
          <w:bCs w:val="0"/>
          <w:sz w:val="22"/>
          <w:szCs w:val="22"/>
          <w:lang w:val="en"/>
        </w:rPr>
        <w:t xml:space="preserve"> should have known of the potential impact of exposure to PPD through black henna tattoos, and the legal level of PPD in the salon’s shampoo.</w:t>
      </w:r>
      <w:r w:rsidR="0050198A">
        <w:rPr>
          <w:rStyle w:val="Strong"/>
          <w:rFonts w:asciiTheme="minorHAnsi" w:hAnsiTheme="minorHAnsi"/>
          <w:b w:val="0"/>
          <w:bCs w:val="0"/>
          <w:sz w:val="22"/>
          <w:szCs w:val="22"/>
          <w:lang w:val="en"/>
        </w:rPr>
        <w:t xml:space="preserve"> The NHS warns specifically of this risk, </w:t>
      </w:r>
      <w:proofErr w:type="spellStart"/>
      <w:r w:rsidR="0050198A">
        <w:rPr>
          <w:rStyle w:val="Strong"/>
          <w:rFonts w:asciiTheme="minorHAnsi" w:hAnsiTheme="minorHAnsi"/>
          <w:b w:val="0"/>
          <w:bCs w:val="0"/>
          <w:sz w:val="22"/>
          <w:szCs w:val="22"/>
          <w:lang w:val="en"/>
        </w:rPr>
        <w:t>publicising</w:t>
      </w:r>
      <w:proofErr w:type="spellEnd"/>
      <w:r w:rsidR="0050198A">
        <w:rPr>
          <w:rStyle w:val="Strong"/>
          <w:rFonts w:asciiTheme="minorHAnsi" w:hAnsiTheme="minorHAnsi"/>
          <w:b w:val="0"/>
          <w:bCs w:val="0"/>
          <w:sz w:val="22"/>
          <w:szCs w:val="22"/>
          <w:lang w:val="en"/>
        </w:rPr>
        <w:t xml:space="preserve"> the death of a woman whose black henna tattoo had been applied five years before she suffered a serious anaphylactic reaction to dye when </w:t>
      </w:r>
      <w:proofErr w:type="spellStart"/>
      <w:r w:rsidR="0050198A">
        <w:rPr>
          <w:rStyle w:val="Strong"/>
          <w:rFonts w:asciiTheme="minorHAnsi" w:hAnsiTheme="minorHAnsi"/>
          <w:b w:val="0"/>
          <w:bCs w:val="0"/>
          <w:sz w:val="22"/>
          <w:szCs w:val="22"/>
          <w:lang w:val="en"/>
        </w:rPr>
        <w:t>colouring</w:t>
      </w:r>
      <w:proofErr w:type="spellEnd"/>
      <w:r w:rsidR="0050198A">
        <w:rPr>
          <w:rStyle w:val="Strong"/>
          <w:rFonts w:asciiTheme="minorHAnsi" w:hAnsiTheme="minorHAnsi"/>
          <w:b w:val="0"/>
          <w:bCs w:val="0"/>
          <w:sz w:val="22"/>
          <w:szCs w:val="22"/>
          <w:lang w:val="en"/>
        </w:rPr>
        <w:t xml:space="preserve"> her hair.</w:t>
      </w:r>
      <w:r w:rsidR="0050198A">
        <w:rPr>
          <w:rStyle w:val="EndnoteReference"/>
          <w:rFonts w:asciiTheme="minorHAnsi" w:hAnsiTheme="minorHAnsi"/>
          <w:sz w:val="22"/>
          <w:szCs w:val="22"/>
          <w:lang w:val="en"/>
        </w:rPr>
        <w:endnoteReference w:id="60"/>
      </w:r>
      <w:r w:rsidR="0050198A">
        <w:rPr>
          <w:rStyle w:val="Strong"/>
          <w:rFonts w:asciiTheme="minorHAnsi" w:hAnsiTheme="minorHAnsi"/>
          <w:b w:val="0"/>
          <w:bCs w:val="0"/>
          <w:sz w:val="22"/>
          <w:szCs w:val="22"/>
          <w:lang w:val="en"/>
        </w:rPr>
        <w:t xml:space="preserve"> </w:t>
      </w:r>
    </w:p>
    <w:p w14:paraId="10BFE279" w14:textId="62E369B8" w:rsidR="0038784D" w:rsidRDefault="001F7791" w:rsidP="00116E0A">
      <w:pPr>
        <w:spacing w:line="276" w:lineRule="auto"/>
        <w:jc w:val="both"/>
      </w:pPr>
      <w:r>
        <w:rPr>
          <w:rStyle w:val="Strong"/>
          <w:b w:val="0"/>
          <w:bCs w:val="0"/>
          <w:lang w:val="en"/>
        </w:rPr>
        <w:t xml:space="preserve">In a cosmetic or plastic surgery setting, the duty of care lies in the doctor or practitioner patient relationship. </w:t>
      </w:r>
      <w:r w:rsidR="0050198A">
        <w:rPr>
          <w:rStyle w:val="Strong"/>
          <w:b w:val="0"/>
          <w:bCs w:val="0"/>
          <w:lang w:val="en"/>
        </w:rPr>
        <w:t>Say t</w:t>
      </w:r>
      <w:r w:rsidR="006D3F40">
        <w:rPr>
          <w:rStyle w:val="Strong"/>
          <w:b w:val="0"/>
          <w:bCs w:val="0"/>
          <w:lang w:val="en"/>
        </w:rPr>
        <w:t xml:space="preserve">he </w:t>
      </w:r>
      <w:r w:rsidR="0038784D">
        <w:t xml:space="preserve">patient undergoes one of the most popular body-changing procedures, liposuction. She complains of dimpled thighs or cellulite. She wants her thighs made smooth and believes liposuction will </w:t>
      </w:r>
      <w:proofErr w:type="gramStart"/>
      <w:r w:rsidR="0038784D">
        <w:t>effect</w:t>
      </w:r>
      <w:proofErr w:type="gramEnd"/>
      <w:r w:rsidR="0038784D">
        <w:t xml:space="preserve"> this by removing t</w:t>
      </w:r>
      <w:r w:rsidR="0050198A">
        <w:t>he</w:t>
      </w:r>
      <w:r w:rsidR="0038784D">
        <w:t xml:space="preserve"> fat that forms the lumps. Excitedly she </w:t>
      </w:r>
      <w:r w:rsidR="008D7130">
        <w:t>hears</w:t>
      </w:r>
      <w:r w:rsidR="0038784D">
        <w:t xml:space="preserve"> the </w:t>
      </w:r>
      <w:r w:rsidR="0038784D">
        <w:lastRenderedPageBreak/>
        <w:t xml:space="preserve">doctor will use laser liposuction, a new procedure he says is less invasive than the traditional method. Telling her she may well see the results as soon as the procedure is complete, he says nothing about the risks of </w:t>
      </w:r>
      <w:r w:rsidR="00442251">
        <w:t>third-degree</w:t>
      </w:r>
      <w:r w:rsidR="0038784D">
        <w:t xml:space="preserve"> burns, charring, scarring or infection, or that she may need to return to the surgery for revision. </w:t>
      </w:r>
      <w:r w:rsidR="006D0E7D">
        <w:t xml:space="preserve">Nor does he say this is the first time he’s used the equipment, and he’s had no training on it. </w:t>
      </w:r>
      <w:r w:rsidR="0038784D">
        <w:t>At the same clinic, a</w:t>
      </w:r>
      <w:r w:rsidR="00254FAF">
        <w:t>nother</w:t>
      </w:r>
      <w:r w:rsidR="0038784D">
        <w:t xml:space="preserve"> patient undergoes traditional liposuction, this time with liposuction removing adipose tissue from her buttocks (too fat, she thinks) and into her thighs (too thin). This liposuction fat transfer she believes will make her bottom perky, her thighs smoothly contoured. There is some risk the doctor says, but only about 0.3 percent of patients suffer complications. The first patient emerges from the tiny operating theatre with smooth thighs and is thrilled</w:t>
      </w:r>
      <w:r w:rsidR="00254FAF">
        <w:t>, he</w:t>
      </w:r>
      <w:r w:rsidR="0038784D">
        <w:t>r husband admiring. She imagines wea</w:t>
      </w:r>
      <w:r w:rsidR="00254FAF">
        <w:t>ring</w:t>
      </w:r>
      <w:r w:rsidR="0038784D">
        <w:t xml:space="preserve"> short skirts again, even dar</w:t>
      </w:r>
      <w:r w:rsidR="00254FAF">
        <w:t>ing</w:t>
      </w:r>
      <w:r w:rsidR="0038784D">
        <w:t xml:space="preserve"> </w:t>
      </w:r>
      <w:proofErr w:type="gramStart"/>
      <w:r w:rsidR="0038784D">
        <w:t>short-shorts</w:t>
      </w:r>
      <w:proofErr w:type="gramEnd"/>
      <w:r w:rsidR="0038784D">
        <w:t xml:space="preserve">. Her thighs are tingling, </w:t>
      </w:r>
      <w:r w:rsidR="00254FAF">
        <w:t xml:space="preserve">there’s </w:t>
      </w:r>
      <w:r w:rsidR="0038784D">
        <w:t>a burning sensation</w:t>
      </w:r>
      <w:r w:rsidR="00254FAF">
        <w:t>,</w:t>
      </w:r>
      <w:r w:rsidR="0038784D">
        <w:t xml:space="preserve"> but she’s been told this is normal and will pass. It doesn’t. She develops serious burns, undergoes treatment for what seems like weeks on end, and emerges with serious scarring. The second patient returns home delighted</w:t>
      </w:r>
      <w:r w:rsidR="00A35298">
        <w:t>. She’s</w:t>
      </w:r>
      <w:r w:rsidR="0038784D">
        <w:t xml:space="preserve"> hoping the bathing costume she wore so desirably in years past has retained its elasticity, to match the taut curves beneath her bottom. As she reaches into the smartly built-in wardrobe, moving gently for yes, there is some pain, she </w:t>
      </w:r>
      <w:proofErr w:type="gramStart"/>
      <w:r w:rsidR="0038784D">
        <w:t>suddenly collapses</w:t>
      </w:r>
      <w:proofErr w:type="gramEnd"/>
      <w:r w:rsidR="0038784D">
        <w:t xml:space="preserve"> and dies before the ambulance or medics can reach her. The verdict? Cause of death pulmonary fat embolism. An independent senior consultant tells the inquest that the risk of fat embolism is a known risk of liposuction, whether performed with or without fat transfer. If the operation does involve fat transfer, there is a risk of its disrupting blood vessels with resultant fat embolism.</w:t>
      </w:r>
      <w:r w:rsidR="0038784D">
        <w:rPr>
          <w:rStyle w:val="EndnoteReference"/>
        </w:rPr>
        <w:endnoteReference w:id="61"/>
      </w:r>
      <w:r w:rsidR="0038784D">
        <w:t xml:space="preserve">  </w:t>
      </w:r>
    </w:p>
    <w:p w14:paraId="170138C2" w14:textId="46857473" w:rsidR="00351DA2" w:rsidRDefault="00A35298" w:rsidP="00351DA2">
      <w:pPr>
        <w:spacing w:after="0" w:line="276" w:lineRule="auto"/>
        <w:jc w:val="both"/>
      </w:pPr>
      <w:r>
        <w:rPr>
          <w:rStyle w:val="Strong"/>
          <w:b w:val="0"/>
          <w:bCs w:val="0"/>
          <w:lang w:val="en"/>
        </w:rPr>
        <w:t>In each case, the</w:t>
      </w:r>
      <w:r w:rsidR="006D0E7D">
        <w:rPr>
          <w:rStyle w:val="Strong"/>
          <w:b w:val="0"/>
          <w:bCs w:val="0"/>
          <w:lang w:val="en"/>
        </w:rPr>
        <w:t xml:space="preserve"> patient must establish</w:t>
      </w:r>
      <w:r w:rsidR="007636E0">
        <w:rPr>
          <w:rStyle w:val="Strong"/>
          <w:b w:val="0"/>
          <w:bCs w:val="0"/>
          <w:lang w:val="en"/>
        </w:rPr>
        <w:t xml:space="preserve"> </w:t>
      </w:r>
      <w:r w:rsidR="006D0E7D">
        <w:rPr>
          <w:rStyle w:val="Strong"/>
          <w:b w:val="0"/>
          <w:bCs w:val="0"/>
          <w:lang w:val="en"/>
        </w:rPr>
        <w:t>breach of the duty of care.</w:t>
      </w:r>
      <w:r w:rsidR="00A41168">
        <w:rPr>
          <w:rStyle w:val="Strong"/>
          <w:b w:val="0"/>
          <w:bCs w:val="0"/>
          <w:lang w:val="en"/>
        </w:rPr>
        <w:t xml:space="preserve"> Where the patient died, duty of care is breached if the doctor has failed to meet the standard of care the law expects in delivering the treatment.</w:t>
      </w:r>
      <w:r w:rsidR="007636E0">
        <w:rPr>
          <w:rStyle w:val="Strong"/>
          <w:b w:val="0"/>
          <w:bCs w:val="0"/>
          <w:lang w:val="en"/>
        </w:rPr>
        <w:t xml:space="preserve"> As the potential for pulmonary embolism is a known risk of liposuction, the </w:t>
      </w:r>
      <w:r w:rsidR="007636E0">
        <w:t>doctor is obliged to exercise care taking this into account. If it could be shown that the doctor failed to bear this potential in mind, this failure caus</w:t>
      </w:r>
      <w:r w:rsidR="00254FAF">
        <w:t>ing</w:t>
      </w:r>
      <w:r w:rsidR="007636E0">
        <w:t xml:space="preserve"> the death, then the doctor would be liable. Say </w:t>
      </w:r>
      <w:r w:rsidR="007636E0">
        <w:rPr>
          <w:rStyle w:val="Strong"/>
          <w:b w:val="0"/>
          <w:bCs w:val="0"/>
          <w:lang w:val="en"/>
        </w:rPr>
        <w:t xml:space="preserve">the doctor injected more fat into the woman’s thighs at a more rapid rate than clinically advised, then that could breach the standard. Alternatively, say the woman suffered an underlying condition </w:t>
      </w:r>
      <w:r w:rsidR="00254FAF">
        <w:rPr>
          <w:rStyle w:val="Strong"/>
          <w:b w:val="0"/>
          <w:bCs w:val="0"/>
          <w:lang w:val="en"/>
        </w:rPr>
        <w:t xml:space="preserve">making </w:t>
      </w:r>
      <w:r w:rsidR="007636E0">
        <w:rPr>
          <w:rStyle w:val="Strong"/>
          <w:b w:val="0"/>
          <w:bCs w:val="0"/>
          <w:lang w:val="en"/>
        </w:rPr>
        <w:t>her vulnerable to pulmonary embolism. If this could and should have been known to the practitioner by proper diligence in examining the patient and tak</w:t>
      </w:r>
      <w:r w:rsidR="00254FAF">
        <w:rPr>
          <w:rStyle w:val="Strong"/>
          <w:b w:val="0"/>
          <w:bCs w:val="0"/>
          <w:lang w:val="en"/>
        </w:rPr>
        <w:t>ing</w:t>
      </w:r>
      <w:r w:rsidR="007636E0">
        <w:rPr>
          <w:rStyle w:val="Strong"/>
          <w:b w:val="0"/>
          <w:bCs w:val="0"/>
          <w:lang w:val="en"/>
        </w:rPr>
        <w:t xml:space="preserve"> her history before embarking on the procedure, that could underpin liability. Another </w:t>
      </w:r>
      <w:r w:rsidR="00A41168">
        <w:t xml:space="preserve">argument could be that the patient should have been warned </w:t>
      </w:r>
      <w:r w:rsidR="007636E0">
        <w:t xml:space="preserve">by the practitioner </w:t>
      </w:r>
      <w:r w:rsidR="00A41168">
        <w:t xml:space="preserve">of this particular risk, </w:t>
      </w:r>
      <w:r w:rsidR="007636E0">
        <w:t xml:space="preserve">with advice </w:t>
      </w:r>
      <w:r w:rsidR="00254FAF">
        <w:t xml:space="preserve">of </w:t>
      </w:r>
      <w:r w:rsidR="007636E0">
        <w:t xml:space="preserve">steps she could take in </w:t>
      </w:r>
      <w:r w:rsidR="00A41168">
        <w:t>exercis</w:t>
      </w:r>
      <w:r w:rsidR="007636E0">
        <w:t>ing</w:t>
      </w:r>
      <w:r w:rsidR="00A41168">
        <w:t xml:space="preserve"> care to guard against that outcome. </w:t>
      </w:r>
      <w:r w:rsidR="00BD5E1A">
        <w:t xml:space="preserve">As to the laser liposuction </w:t>
      </w:r>
      <w:r w:rsidR="00254FAF">
        <w:t>case</w:t>
      </w:r>
      <w:r w:rsidR="00BD5E1A">
        <w:t xml:space="preserve">, </w:t>
      </w:r>
      <w:r w:rsidR="006D0E7D">
        <w:rPr>
          <w:rStyle w:val="Strong"/>
          <w:b w:val="0"/>
          <w:bCs w:val="0"/>
          <w:lang w:val="en"/>
        </w:rPr>
        <w:t xml:space="preserve">the question is whether the burns and scarring </w:t>
      </w:r>
      <w:r w:rsidR="00BD5E1A">
        <w:rPr>
          <w:rStyle w:val="Strong"/>
          <w:b w:val="0"/>
          <w:bCs w:val="0"/>
          <w:lang w:val="en"/>
        </w:rPr>
        <w:t xml:space="preserve">were </w:t>
      </w:r>
      <w:r w:rsidR="006D0E7D">
        <w:rPr>
          <w:rStyle w:val="Strong"/>
          <w:b w:val="0"/>
          <w:bCs w:val="0"/>
          <w:lang w:val="en"/>
        </w:rPr>
        <w:t xml:space="preserve">caused by </w:t>
      </w:r>
      <w:r w:rsidR="00D95EE1">
        <w:rPr>
          <w:rStyle w:val="Strong"/>
          <w:b w:val="0"/>
          <w:bCs w:val="0"/>
          <w:lang w:val="en"/>
        </w:rPr>
        <w:t xml:space="preserve">the doctor’s conduct </w:t>
      </w:r>
      <w:r w:rsidR="00BD5E1A">
        <w:rPr>
          <w:rStyle w:val="Strong"/>
          <w:b w:val="0"/>
          <w:bCs w:val="0"/>
          <w:lang w:val="en"/>
        </w:rPr>
        <w:t>in carrying out the procedure. L</w:t>
      </w:r>
      <w:r w:rsidR="00D95EE1">
        <w:rPr>
          <w:rStyle w:val="Strong"/>
          <w:b w:val="0"/>
          <w:bCs w:val="0"/>
          <w:lang w:val="en"/>
        </w:rPr>
        <w:t xml:space="preserve">ack of </w:t>
      </w:r>
      <w:r w:rsidR="006D0E7D">
        <w:rPr>
          <w:rStyle w:val="Strong"/>
          <w:b w:val="0"/>
          <w:bCs w:val="0"/>
          <w:lang w:val="en"/>
        </w:rPr>
        <w:t xml:space="preserve">training </w:t>
      </w:r>
      <w:r w:rsidR="00D95EE1">
        <w:rPr>
          <w:rStyle w:val="Strong"/>
          <w:b w:val="0"/>
          <w:bCs w:val="0"/>
          <w:lang w:val="en"/>
        </w:rPr>
        <w:t>would be relevant</w:t>
      </w:r>
      <w:r w:rsidR="006D0E7D">
        <w:rPr>
          <w:rStyle w:val="Strong"/>
          <w:b w:val="0"/>
          <w:bCs w:val="0"/>
          <w:lang w:val="en"/>
        </w:rPr>
        <w:t xml:space="preserve">. Although burns can happen, they may be the result of the doctor’s inability to use the equipment to the standard of a properly competent medical practitioner – likely because of </w:t>
      </w:r>
      <w:r w:rsidR="00D95EE1">
        <w:rPr>
          <w:rStyle w:val="Strong"/>
          <w:b w:val="0"/>
          <w:bCs w:val="0"/>
          <w:lang w:val="en"/>
        </w:rPr>
        <w:t xml:space="preserve">that training deficit. </w:t>
      </w:r>
      <w:r w:rsidR="00BD5E1A">
        <w:t xml:space="preserve">A breach could lie a failure to advise the patient how to read postoperative signs of burns early, </w:t>
      </w:r>
      <w:proofErr w:type="gramStart"/>
      <w:r w:rsidR="00BD5E1A">
        <w:t>so as to</w:t>
      </w:r>
      <w:proofErr w:type="gramEnd"/>
      <w:r w:rsidR="00BD5E1A">
        <w:t xml:space="preserve"> seek medical care and attention immediately. </w:t>
      </w:r>
      <w:r w:rsidR="00BD5E1A">
        <w:rPr>
          <w:rStyle w:val="Strong"/>
          <w:b w:val="0"/>
          <w:bCs w:val="0"/>
          <w:lang w:val="en"/>
        </w:rPr>
        <w:t xml:space="preserve">A </w:t>
      </w:r>
      <w:r w:rsidR="000332CF">
        <w:rPr>
          <w:rStyle w:val="Strong"/>
          <w:b w:val="0"/>
          <w:bCs w:val="0"/>
          <w:lang w:val="en"/>
        </w:rPr>
        <w:t xml:space="preserve">breach </w:t>
      </w:r>
      <w:r w:rsidR="00BD5E1A">
        <w:rPr>
          <w:rStyle w:val="Strong"/>
          <w:b w:val="0"/>
          <w:bCs w:val="0"/>
          <w:lang w:val="en"/>
        </w:rPr>
        <w:t xml:space="preserve">could also arise </w:t>
      </w:r>
      <w:r w:rsidR="000332CF">
        <w:rPr>
          <w:rStyle w:val="Strong"/>
          <w:b w:val="0"/>
          <w:bCs w:val="0"/>
          <w:lang w:val="en"/>
        </w:rPr>
        <w:t xml:space="preserve">in that knowing that burns can be an outcome, </w:t>
      </w:r>
      <w:r w:rsidR="00351DA2">
        <w:rPr>
          <w:rStyle w:val="Strong"/>
          <w:b w:val="0"/>
          <w:bCs w:val="0"/>
          <w:lang w:val="en"/>
        </w:rPr>
        <w:t xml:space="preserve">the doctor failed </w:t>
      </w:r>
      <w:r w:rsidR="000332CF">
        <w:rPr>
          <w:rStyle w:val="Strong"/>
          <w:b w:val="0"/>
          <w:bCs w:val="0"/>
          <w:lang w:val="en"/>
        </w:rPr>
        <w:t xml:space="preserve">to advise </w:t>
      </w:r>
      <w:r w:rsidR="000332CF">
        <w:t>the patient as to post-operative care that would lessen the possibility of scarring</w:t>
      </w:r>
      <w:r w:rsidR="00351DA2">
        <w:t xml:space="preserve">. </w:t>
      </w:r>
      <w:r w:rsidR="00A74285">
        <w:t>Additionally, be</w:t>
      </w:r>
      <w:r w:rsidR="00254FAF">
        <w:t>ing</w:t>
      </w:r>
      <w:r w:rsidR="00A74285">
        <w:t xml:space="preserve"> a relatively new therapy may affect the </w:t>
      </w:r>
      <w:r w:rsidR="00442251">
        <w:t>standard</w:t>
      </w:r>
      <w:r w:rsidR="00A74285">
        <w:t xml:space="preserve"> required.</w:t>
      </w:r>
      <w:r w:rsidR="00B92C3D">
        <w:rPr>
          <w:rStyle w:val="EndnoteReference"/>
        </w:rPr>
        <w:endnoteReference w:id="62"/>
      </w:r>
      <w:r w:rsidR="00351DA2">
        <w:t xml:space="preserve"> </w:t>
      </w:r>
      <w:r w:rsidR="00A41168">
        <w:t xml:space="preserve">This is particularly germane to the beautifying bodies </w:t>
      </w:r>
      <w:r w:rsidR="00254FAF">
        <w:t>field</w:t>
      </w:r>
      <w:r w:rsidR="00A41168">
        <w:t xml:space="preserve">, because new procedures and new products come onto the market at a seemingly rapid rate. </w:t>
      </w:r>
    </w:p>
    <w:p w14:paraId="4C67CC05" w14:textId="77777777" w:rsidR="007813D1" w:rsidRDefault="007813D1" w:rsidP="00351DA2">
      <w:pPr>
        <w:spacing w:after="0" w:line="276" w:lineRule="auto"/>
        <w:jc w:val="both"/>
        <w:rPr>
          <w:rStyle w:val="Strong"/>
          <w:b w:val="0"/>
          <w:bCs w:val="0"/>
          <w:lang w:val="en"/>
        </w:rPr>
      </w:pPr>
    </w:p>
    <w:p w14:paraId="63DD40B4" w14:textId="76FE9594" w:rsidR="00D95EE1" w:rsidRPr="00686B54" w:rsidRDefault="00D95EE1" w:rsidP="00D95EE1">
      <w:pPr>
        <w:spacing w:after="0" w:line="276" w:lineRule="auto"/>
        <w:jc w:val="both"/>
        <w:rPr>
          <w:rFonts w:cs="Segoe UI"/>
          <w:color w:val="212529"/>
          <w:lang w:val="en"/>
        </w:rPr>
      </w:pPr>
      <w:r>
        <w:rPr>
          <w:rStyle w:val="Strong"/>
          <w:b w:val="0"/>
          <w:bCs w:val="0"/>
          <w:lang w:val="en"/>
        </w:rPr>
        <w:t xml:space="preserve">The original test for determining </w:t>
      </w:r>
      <w:r w:rsidR="00C53FB8">
        <w:rPr>
          <w:rStyle w:val="Strong"/>
          <w:b w:val="0"/>
          <w:bCs w:val="0"/>
          <w:lang w:val="en"/>
        </w:rPr>
        <w:t xml:space="preserve">the </w:t>
      </w:r>
      <w:r>
        <w:rPr>
          <w:rStyle w:val="Strong"/>
          <w:b w:val="0"/>
          <w:bCs w:val="0"/>
          <w:lang w:val="en"/>
        </w:rPr>
        <w:t>standard of care owed to pa</w:t>
      </w:r>
      <w:r>
        <w:rPr>
          <w:rFonts w:cs="Segoe UI"/>
          <w:color w:val="212529"/>
          <w:lang w:val="en"/>
        </w:rPr>
        <w:t xml:space="preserve">tients by medical professionals was set in </w:t>
      </w:r>
      <w:r>
        <w:rPr>
          <w:rFonts w:cs="Segoe UI"/>
          <w:i/>
          <w:iCs/>
          <w:color w:val="212529"/>
          <w:lang w:val="en"/>
        </w:rPr>
        <w:t>Bolam v Friern Hospital Management Committee</w:t>
      </w:r>
      <w:r>
        <w:rPr>
          <w:rFonts w:cs="Segoe UI"/>
          <w:color w:val="212529"/>
          <w:lang w:val="en"/>
        </w:rPr>
        <w:t>.</w:t>
      </w:r>
      <w:r>
        <w:rPr>
          <w:rStyle w:val="EndnoteReference"/>
          <w:rFonts w:cs="Segoe UI"/>
          <w:color w:val="212529"/>
          <w:lang w:val="en"/>
        </w:rPr>
        <w:endnoteReference w:id="63"/>
      </w:r>
      <w:r>
        <w:rPr>
          <w:rFonts w:cs="Segoe UI"/>
          <w:color w:val="212529"/>
          <w:lang w:val="en"/>
        </w:rPr>
        <w:t xml:space="preserve"> The House of Lords held t</w:t>
      </w:r>
      <w:r w:rsidRPr="00D95EE1">
        <w:rPr>
          <w:rFonts w:cs="Segoe UI"/>
          <w:color w:val="212529"/>
          <w:lang w:val="en"/>
        </w:rPr>
        <w:t>hat</w:t>
      </w:r>
      <w:r>
        <w:rPr>
          <w:rFonts w:cs="Segoe UI"/>
          <w:color w:val="212529"/>
          <w:lang w:val="en"/>
        </w:rPr>
        <w:t xml:space="preserve"> the </w:t>
      </w:r>
      <w:r>
        <w:rPr>
          <w:rFonts w:cs="Segoe UI"/>
          <w:color w:val="212529"/>
          <w:lang w:val="en"/>
        </w:rPr>
        <w:lastRenderedPageBreak/>
        <w:t xml:space="preserve">professional would not be in breach of their duty of care if acting in a manner that accorded with practices accepted as proper by a responsible body of medical professionals with expertise in the same field. There could be disagreement between groups of these professionals, however, that did not mean that the doctor would be liable. So long as there was a group which considered the professional’s conduct ‘proper’, then the doctor would be considered to have met the required standard. This test was disputed on the ground that it allowed medical practitioners to set their own standard. </w:t>
      </w:r>
      <w:r w:rsidR="00B17B76">
        <w:rPr>
          <w:rFonts w:cs="Segoe UI"/>
          <w:color w:val="212529"/>
          <w:lang w:val="en"/>
        </w:rPr>
        <w:t xml:space="preserve">In </w:t>
      </w:r>
      <w:r w:rsidR="00B17B76">
        <w:rPr>
          <w:rFonts w:cs="Segoe UI"/>
          <w:i/>
          <w:iCs/>
          <w:color w:val="212529"/>
          <w:lang w:val="en"/>
        </w:rPr>
        <w:t>Bolitho v Hackney Health Authority</w:t>
      </w:r>
      <w:r w:rsidR="00B17B76">
        <w:rPr>
          <w:rStyle w:val="EndnoteReference"/>
          <w:rFonts w:cs="Segoe UI"/>
          <w:i/>
          <w:iCs/>
          <w:color w:val="212529"/>
          <w:lang w:val="en"/>
        </w:rPr>
        <w:endnoteReference w:id="64"/>
      </w:r>
      <w:r w:rsidR="00B17B76">
        <w:rPr>
          <w:rFonts w:cs="Segoe UI"/>
          <w:i/>
          <w:iCs/>
          <w:color w:val="212529"/>
          <w:lang w:val="en"/>
        </w:rPr>
        <w:t xml:space="preserve"> </w:t>
      </w:r>
      <w:r w:rsidR="00B17B76">
        <w:rPr>
          <w:rFonts w:cs="Segoe UI"/>
          <w:color w:val="212529"/>
          <w:lang w:val="en"/>
        </w:rPr>
        <w:t xml:space="preserve"> it was held that if a body of opinion says that the doctor’s standard is a proper one, the court must be satisfied that the opinion rests on a logical basis.</w:t>
      </w:r>
      <w:r w:rsidR="00A74285">
        <w:rPr>
          <w:rFonts w:cs="Segoe UI"/>
          <w:color w:val="212529"/>
          <w:lang w:val="en"/>
        </w:rPr>
        <w:t xml:space="preserve"> </w:t>
      </w:r>
      <w:r>
        <w:rPr>
          <w:rFonts w:cs="Segoe UI"/>
          <w:color w:val="212529"/>
          <w:lang w:val="en"/>
        </w:rPr>
        <w:t xml:space="preserve">This </w:t>
      </w:r>
      <w:r w:rsidR="00F61E4C">
        <w:rPr>
          <w:rFonts w:cs="Segoe UI"/>
          <w:color w:val="212529"/>
          <w:lang w:val="en"/>
        </w:rPr>
        <w:t>c</w:t>
      </w:r>
      <w:r>
        <w:rPr>
          <w:rFonts w:cs="Segoe UI"/>
          <w:color w:val="212529"/>
          <w:lang w:val="en"/>
        </w:rPr>
        <w:t xml:space="preserve">an </w:t>
      </w:r>
      <w:r w:rsidR="00F61E4C">
        <w:rPr>
          <w:rFonts w:cs="Segoe UI"/>
          <w:color w:val="212529"/>
          <w:lang w:val="en"/>
        </w:rPr>
        <w:t xml:space="preserve">be regarded at least to some extent as applying an </w:t>
      </w:r>
      <w:r>
        <w:rPr>
          <w:rFonts w:cs="Segoe UI"/>
          <w:color w:val="212529"/>
          <w:lang w:val="en"/>
        </w:rPr>
        <w:t>increased critical perspective to the work of professionals such as medical practitioners</w:t>
      </w:r>
      <w:r w:rsidR="00A41168">
        <w:rPr>
          <w:rFonts w:cs="Segoe UI"/>
          <w:color w:val="212529"/>
          <w:lang w:val="en"/>
        </w:rPr>
        <w:t xml:space="preserve">, yet there remains a substantial reliance on, effectively, self-assessment of what is an acceptable </w:t>
      </w:r>
      <w:r>
        <w:rPr>
          <w:rFonts w:cs="Segoe UI"/>
          <w:color w:val="212529"/>
          <w:lang w:val="en"/>
        </w:rPr>
        <w:t>standard</w:t>
      </w:r>
      <w:r w:rsidR="00A41168">
        <w:rPr>
          <w:rFonts w:cs="Segoe UI"/>
          <w:color w:val="212529"/>
          <w:lang w:val="en"/>
        </w:rPr>
        <w:t>.</w:t>
      </w:r>
      <w:r w:rsidR="00752D8A">
        <w:rPr>
          <w:rStyle w:val="EndnoteReference"/>
          <w:rFonts w:cs="Segoe UI"/>
          <w:color w:val="212529"/>
          <w:lang w:val="en"/>
        </w:rPr>
        <w:endnoteReference w:id="65"/>
      </w:r>
      <w:r w:rsidR="00686B54">
        <w:rPr>
          <w:rFonts w:cs="Segoe UI"/>
          <w:color w:val="212529"/>
          <w:lang w:val="en"/>
        </w:rPr>
        <w:t xml:space="preserve"> More recently, </w:t>
      </w:r>
      <w:r w:rsidR="00686B54">
        <w:rPr>
          <w:rStyle w:val="Strong"/>
          <w:b w:val="0"/>
          <w:bCs w:val="0"/>
          <w:i/>
          <w:iCs/>
          <w:lang w:val="en"/>
        </w:rPr>
        <w:t>Montgomery v Lanarkshire Health Board</w:t>
      </w:r>
      <w:r w:rsidR="00C378E4">
        <w:rPr>
          <w:rStyle w:val="EndnoteReference"/>
          <w:lang w:val="en"/>
        </w:rPr>
        <w:endnoteReference w:id="66"/>
      </w:r>
      <w:r w:rsidR="00C378E4">
        <w:rPr>
          <w:rStyle w:val="Strong"/>
          <w:b w:val="0"/>
          <w:bCs w:val="0"/>
          <w:lang w:val="en"/>
        </w:rPr>
        <w:t xml:space="preserve"> </w:t>
      </w:r>
      <w:r w:rsidR="00686B54">
        <w:rPr>
          <w:rStyle w:val="Strong"/>
          <w:b w:val="0"/>
          <w:bCs w:val="0"/>
          <w:iCs/>
          <w:lang w:val="en"/>
        </w:rPr>
        <w:t xml:space="preserve">set a standard relating to patient autonomy. Before addressing this principle, however, it is important to consider against whom a patient or client </w:t>
      </w:r>
      <w:r w:rsidR="00C378E4">
        <w:rPr>
          <w:rStyle w:val="Strong"/>
          <w:b w:val="0"/>
          <w:bCs w:val="0"/>
          <w:iCs/>
          <w:lang w:val="en"/>
        </w:rPr>
        <w:t>can</w:t>
      </w:r>
      <w:r w:rsidR="00686B54">
        <w:rPr>
          <w:rStyle w:val="Strong"/>
          <w:b w:val="0"/>
          <w:bCs w:val="0"/>
          <w:iCs/>
          <w:lang w:val="en"/>
        </w:rPr>
        <w:t xml:space="preserve"> </w:t>
      </w:r>
      <w:proofErr w:type="gramStart"/>
      <w:r w:rsidR="00686B54">
        <w:rPr>
          <w:rStyle w:val="Strong"/>
          <w:b w:val="0"/>
          <w:bCs w:val="0"/>
          <w:iCs/>
          <w:lang w:val="en"/>
        </w:rPr>
        <w:t>take action</w:t>
      </w:r>
      <w:proofErr w:type="gramEnd"/>
      <w:r w:rsidR="00686B54">
        <w:rPr>
          <w:rStyle w:val="Strong"/>
          <w:b w:val="0"/>
          <w:bCs w:val="0"/>
          <w:iCs/>
          <w:lang w:val="en"/>
        </w:rPr>
        <w:t xml:space="preserve">. </w:t>
      </w:r>
    </w:p>
    <w:p w14:paraId="5CB8043F" w14:textId="08EEF671" w:rsidR="00696AA4" w:rsidRDefault="00696AA4" w:rsidP="00D95EE1">
      <w:pPr>
        <w:spacing w:after="0" w:line="276" w:lineRule="auto"/>
        <w:jc w:val="both"/>
        <w:rPr>
          <w:rFonts w:cs="Segoe UI"/>
          <w:color w:val="212529"/>
          <w:lang w:val="en"/>
        </w:rPr>
      </w:pPr>
    </w:p>
    <w:p w14:paraId="5270F237" w14:textId="11C675C9" w:rsidR="00696AA4" w:rsidRDefault="00696AA4" w:rsidP="00D95EE1">
      <w:pPr>
        <w:spacing w:after="0" w:line="276" w:lineRule="auto"/>
        <w:jc w:val="both"/>
        <w:rPr>
          <w:rFonts w:cs="Segoe UI"/>
          <w:color w:val="212529"/>
          <w:lang w:val="en"/>
        </w:rPr>
      </w:pPr>
      <w:r>
        <w:rPr>
          <w:rFonts w:cs="Segoe UI"/>
          <w:color w:val="212529"/>
          <w:lang w:val="en"/>
        </w:rPr>
        <w:t>What if the doctor</w:t>
      </w:r>
      <w:r w:rsidR="00C17AE9">
        <w:rPr>
          <w:rFonts w:cs="Segoe UI"/>
          <w:color w:val="212529"/>
          <w:lang w:val="en"/>
        </w:rPr>
        <w:t xml:space="preserve">, </w:t>
      </w:r>
      <w:proofErr w:type="gramStart"/>
      <w:r w:rsidR="00C17AE9">
        <w:rPr>
          <w:rFonts w:cs="Segoe UI"/>
          <w:color w:val="212529"/>
          <w:lang w:val="en"/>
        </w:rPr>
        <w:t>hairdresser</w:t>
      </w:r>
      <w:proofErr w:type="gramEnd"/>
      <w:r w:rsidR="00C17AE9">
        <w:rPr>
          <w:rFonts w:cs="Segoe UI"/>
          <w:color w:val="212529"/>
          <w:lang w:val="en"/>
        </w:rPr>
        <w:t xml:space="preserve"> </w:t>
      </w:r>
      <w:r>
        <w:rPr>
          <w:rFonts w:cs="Segoe UI"/>
          <w:color w:val="212529"/>
          <w:lang w:val="en"/>
        </w:rPr>
        <w:t xml:space="preserve">or beauty practitioner does breach their duty of care, yet holding them liable gains the damaged patient or client </w:t>
      </w:r>
      <w:r w:rsidR="00C17AE9">
        <w:rPr>
          <w:rFonts w:cs="Segoe UI"/>
          <w:color w:val="212529"/>
          <w:lang w:val="en"/>
        </w:rPr>
        <w:t xml:space="preserve">nothing </w:t>
      </w:r>
      <w:r>
        <w:rPr>
          <w:rFonts w:cs="Segoe UI"/>
          <w:color w:val="212529"/>
          <w:lang w:val="en"/>
        </w:rPr>
        <w:t xml:space="preserve">beyond emotional </w:t>
      </w:r>
      <w:r w:rsidR="00FE6B6E">
        <w:rPr>
          <w:rFonts w:cs="Segoe UI"/>
          <w:color w:val="212529"/>
          <w:lang w:val="en"/>
        </w:rPr>
        <w:t>satisfaction</w:t>
      </w:r>
      <w:r w:rsidR="00C17AE9">
        <w:rPr>
          <w:rFonts w:cs="Segoe UI"/>
          <w:color w:val="212529"/>
          <w:lang w:val="en"/>
        </w:rPr>
        <w:t>, if that</w:t>
      </w:r>
      <w:r w:rsidR="00FE6B6E">
        <w:rPr>
          <w:rFonts w:cs="Segoe UI"/>
          <w:color w:val="212529"/>
          <w:lang w:val="en"/>
        </w:rPr>
        <w:t>?</w:t>
      </w:r>
      <w:r>
        <w:rPr>
          <w:rFonts w:cs="Segoe UI"/>
          <w:color w:val="212529"/>
          <w:lang w:val="en"/>
        </w:rPr>
        <w:t xml:space="preserve"> Although individual professionals are likely to be insured if they are prudent, and some professions require practitioners to take out their own insurance against potential errors, </w:t>
      </w:r>
      <w:r w:rsidR="00336B25">
        <w:rPr>
          <w:rFonts w:cs="Segoe UI"/>
          <w:color w:val="212529"/>
          <w:lang w:val="en"/>
        </w:rPr>
        <w:t xml:space="preserve">people </w:t>
      </w:r>
      <w:r w:rsidR="00686B54">
        <w:rPr>
          <w:rFonts w:cs="Segoe UI"/>
          <w:color w:val="212529"/>
          <w:lang w:val="en"/>
        </w:rPr>
        <w:t>injured or suffer</w:t>
      </w:r>
      <w:r w:rsidR="00336B25">
        <w:rPr>
          <w:rFonts w:cs="Segoe UI"/>
          <w:color w:val="212529"/>
          <w:lang w:val="en"/>
        </w:rPr>
        <w:t>ing</w:t>
      </w:r>
      <w:r w:rsidR="00686B54">
        <w:rPr>
          <w:rFonts w:cs="Segoe UI"/>
          <w:color w:val="212529"/>
          <w:lang w:val="en"/>
        </w:rPr>
        <w:t xml:space="preserve"> pain or serious damage will be advantaged if </w:t>
      </w:r>
      <w:r>
        <w:rPr>
          <w:rFonts w:cs="Segoe UI"/>
          <w:color w:val="212529"/>
          <w:lang w:val="en"/>
        </w:rPr>
        <w:t xml:space="preserve">the salon, clinic, </w:t>
      </w:r>
      <w:proofErr w:type="gramStart"/>
      <w:r>
        <w:rPr>
          <w:rFonts w:cs="Segoe UI"/>
          <w:color w:val="212529"/>
          <w:lang w:val="en"/>
        </w:rPr>
        <w:t>hospital</w:t>
      </w:r>
      <w:proofErr w:type="gramEnd"/>
      <w:r>
        <w:rPr>
          <w:rFonts w:cs="Segoe UI"/>
          <w:color w:val="212529"/>
          <w:lang w:val="en"/>
        </w:rPr>
        <w:t xml:space="preserve"> or hospital trust carr</w:t>
      </w:r>
      <w:r w:rsidR="00686B54">
        <w:rPr>
          <w:rFonts w:cs="Segoe UI"/>
          <w:color w:val="212529"/>
          <w:lang w:val="en"/>
        </w:rPr>
        <w:t>ies</w:t>
      </w:r>
      <w:r>
        <w:rPr>
          <w:rFonts w:cs="Segoe UI"/>
          <w:color w:val="212529"/>
          <w:lang w:val="en"/>
        </w:rPr>
        <w:t xml:space="preserve"> insurance. I</w:t>
      </w:r>
      <w:r w:rsidR="00201D8F">
        <w:rPr>
          <w:rFonts w:cs="Segoe UI"/>
          <w:color w:val="212529"/>
          <w:lang w:val="en"/>
        </w:rPr>
        <w:t>f t</w:t>
      </w:r>
      <w:r>
        <w:rPr>
          <w:rFonts w:cs="Segoe UI"/>
          <w:color w:val="212529"/>
          <w:lang w:val="en"/>
        </w:rPr>
        <w:t xml:space="preserve">he party suffering from a botched procedure </w:t>
      </w:r>
      <w:r w:rsidR="00201D8F">
        <w:rPr>
          <w:rFonts w:cs="Segoe UI"/>
          <w:color w:val="212529"/>
          <w:lang w:val="en"/>
        </w:rPr>
        <w:t xml:space="preserve">wants financial recompense, </w:t>
      </w:r>
      <w:r w:rsidR="003757F2">
        <w:rPr>
          <w:rFonts w:cs="Segoe UI"/>
          <w:color w:val="212529"/>
          <w:lang w:val="en"/>
        </w:rPr>
        <w:t xml:space="preserve">wisdom lies in suing </w:t>
      </w:r>
      <w:r>
        <w:rPr>
          <w:rFonts w:cs="Segoe UI"/>
          <w:color w:val="212529"/>
          <w:lang w:val="en"/>
        </w:rPr>
        <w:t xml:space="preserve">the party with the greatest likelihood of paying out </w:t>
      </w:r>
      <w:proofErr w:type="gramStart"/>
      <w:r>
        <w:rPr>
          <w:rFonts w:cs="Segoe UI"/>
          <w:color w:val="212529"/>
          <w:lang w:val="en"/>
        </w:rPr>
        <w:t>a damages</w:t>
      </w:r>
      <w:proofErr w:type="gramEnd"/>
      <w:r>
        <w:rPr>
          <w:rFonts w:cs="Segoe UI"/>
          <w:color w:val="212529"/>
          <w:lang w:val="en"/>
        </w:rPr>
        <w:t xml:space="preserve"> claim. </w:t>
      </w:r>
      <w:r w:rsidR="00484061">
        <w:rPr>
          <w:rFonts w:cs="Segoe UI"/>
          <w:color w:val="212529"/>
          <w:lang w:val="en"/>
        </w:rPr>
        <w:t>Here, vicarious liability is the key.</w:t>
      </w:r>
    </w:p>
    <w:p w14:paraId="10F9B4E4" w14:textId="569D5350" w:rsidR="00287F4C" w:rsidRDefault="00287F4C" w:rsidP="00D95EE1">
      <w:pPr>
        <w:spacing w:after="0" w:line="276" w:lineRule="auto"/>
        <w:jc w:val="both"/>
        <w:rPr>
          <w:rFonts w:cs="Segoe UI"/>
          <w:color w:val="212529"/>
          <w:lang w:val="en"/>
        </w:rPr>
      </w:pPr>
    </w:p>
    <w:p w14:paraId="6C91FEA6" w14:textId="73261E49" w:rsidR="00287F4C" w:rsidRDefault="00287F4C" w:rsidP="00D95EE1">
      <w:pPr>
        <w:spacing w:after="0" w:line="276" w:lineRule="auto"/>
        <w:jc w:val="both"/>
        <w:rPr>
          <w:rFonts w:cs="Segoe UI"/>
          <w:color w:val="212529"/>
          <w:lang w:val="en"/>
        </w:rPr>
      </w:pPr>
      <w:r>
        <w:rPr>
          <w:rFonts w:cs="Segoe UI"/>
          <w:color w:val="212529"/>
          <w:lang w:val="en"/>
        </w:rPr>
        <w:t>Vicarious liability is the legal term given to circumstances where one party engages in wrongdoing, and a</w:t>
      </w:r>
      <w:r w:rsidR="00335CEC">
        <w:rPr>
          <w:rFonts w:cs="Segoe UI"/>
          <w:color w:val="212529"/>
          <w:lang w:val="en"/>
        </w:rPr>
        <w:t xml:space="preserve"> second </w:t>
      </w:r>
      <w:r>
        <w:rPr>
          <w:rFonts w:cs="Segoe UI"/>
          <w:color w:val="212529"/>
          <w:lang w:val="en"/>
        </w:rPr>
        <w:t xml:space="preserve">party is held liable. Sometimes, the </w:t>
      </w:r>
      <w:r w:rsidR="00335CEC">
        <w:rPr>
          <w:rFonts w:cs="Segoe UI"/>
          <w:color w:val="212529"/>
          <w:lang w:val="en"/>
        </w:rPr>
        <w:t xml:space="preserve">second </w:t>
      </w:r>
      <w:r>
        <w:rPr>
          <w:rFonts w:cs="Segoe UI"/>
          <w:color w:val="212529"/>
          <w:lang w:val="en"/>
        </w:rPr>
        <w:t xml:space="preserve">party has some ‘primary liability’ – that is, has engaged in some form of wrongdoing, too, so is equally to blame or has some blameworthiness. Sometimes, however, the </w:t>
      </w:r>
      <w:r w:rsidR="00335CEC">
        <w:rPr>
          <w:rFonts w:cs="Segoe UI"/>
          <w:color w:val="212529"/>
          <w:lang w:val="en"/>
        </w:rPr>
        <w:t xml:space="preserve">second </w:t>
      </w:r>
      <w:r>
        <w:rPr>
          <w:rFonts w:cs="Segoe UI"/>
          <w:color w:val="212529"/>
          <w:lang w:val="en"/>
        </w:rPr>
        <w:t xml:space="preserve">party has no primary liability at all – </w:t>
      </w:r>
      <w:r w:rsidR="00335CEC">
        <w:rPr>
          <w:rFonts w:cs="Segoe UI"/>
          <w:color w:val="212529"/>
          <w:lang w:val="en"/>
        </w:rPr>
        <w:t xml:space="preserve">having </w:t>
      </w:r>
      <w:r>
        <w:rPr>
          <w:rFonts w:cs="Segoe UI"/>
          <w:color w:val="212529"/>
          <w:lang w:val="en"/>
        </w:rPr>
        <w:t xml:space="preserve">engaged in no blameworthy conduct at all. </w:t>
      </w:r>
      <w:r w:rsidR="00335CEC">
        <w:rPr>
          <w:rFonts w:cs="Segoe UI"/>
          <w:color w:val="212529"/>
          <w:lang w:val="en"/>
        </w:rPr>
        <w:t>At first glance, this may seem unfair. However, p</w:t>
      </w:r>
      <w:r>
        <w:rPr>
          <w:rFonts w:cs="Segoe UI"/>
          <w:color w:val="212529"/>
          <w:lang w:val="en"/>
        </w:rPr>
        <w:t xml:space="preserve">ublic policy </w:t>
      </w:r>
      <w:r w:rsidR="00335CEC">
        <w:rPr>
          <w:rFonts w:cs="Segoe UI"/>
          <w:color w:val="212529"/>
          <w:lang w:val="en"/>
        </w:rPr>
        <w:t xml:space="preserve">comes into play, balancing the rights and responsibilities. So it is that public policy </w:t>
      </w:r>
      <w:r>
        <w:rPr>
          <w:rFonts w:cs="Segoe UI"/>
          <w:color w:val="212529"/>
          <w:lang w:val="en"/>
        </w:rPr>
        <w:t xml:space="preserve">governs the field, </w:t>
      </w:r>
      <w:r w:rsidR="00335CEC">
        <w:rPr>
          <w:rFonts w:cs="Segoe UI"/>
          <w:color w:val="212529"/>
          <w:lang w:val="en"/>
        </w:rPr>
        <w:t xml:space="preserve">and </w:t>
      </w:r>
      <w:r>
        <w:rPr>
          <w:rFonts w:cs="Segoe UI"/>
          <w:color w:val="212529"/>
          <w:lang w:val="en"/>
        </w:rPr>
        <w:t>public policy that dictates, effectively, whether vicarious liability applies.</w:t>
      </w:r>
      <w:r w:rsidR="003D1553">
        <w:rPr>
          <w:rFonts w:cs="Segoe UI"/>
          <w:color w:val="212529"/>
          <w:lang w:val="en"/>
        </w:rPr>
        <w:t xml:space="preserve"> This can be particularly important where errors occur in procedures involving beauty treatments or cosmetic surgery, plastic surgery or less intrusive measures such as cutting and shaping hair, </w:t>
      </w:r>
      <w:r w:rsidR="00707478">
        <w:rPr>
          <w:rFonts w:cs="Segoe UI"/>
          <w:color w:val="212529"/>
          <w:lang w:val="en"/>
        </w:rPr>
        <w:t>affixing acrylic nails, straightening</w:t>
      </w:r>
      <w:r w:rsidR="00C240D7">
        <w:rPr>
          <w:rFonts w:cs="Segoe UI"/>
          <w:color w:val="212529"/>
          <w:lang w:val="en"/>
        </w:rPr>
        <w:t xml:space="preserve"> corkscrew curls</w:t>
      </w:r>
      <w:r w:rsidR="003A5C4E">
        <w:rPr>
          <w:rFonts w:cs="Segoe UI"/>
          <w:color w:val="212529"/>
          <w:lang w:val="en"/>
        </w:rPr>
        <w:t xml:space="preserve"> or frizzy hair, </w:t>
      </w:r>
      <w:r w:rsidR="00C240D7">
        <w:rPr>
          <w:rFonts w:cs="Segoe UI"/>
          <w:color w:val="212529"/>
          <w:lang w:val="en"/>
        </w:rPr>
        <w:t>applying permanent waving lotion</w:t>
      </w:r>
      <w:r w:rsidR="003A5C4E">
        <w:rPr>
          <w:rFonts w:cs="Segoe UI"/>
          <w:color w:val="212529"/>
          <w:lang w:val="en"/>
        </w:rPr>
        <w:t xml:space="preserve">, gels and </w:t>
      </w:r>
      <w:proofErr w:type="gramStart"/>
      <w:r w:rsidR="003A5C4E">
        <w:rPr>
          <w:rFonts w:cs="Segoe UI"/>
          <w:color w:val="212529"/>
          <w:lang w:val="en"/>
        </w:rPr>
        <w:t>hairspray</w:t>
      </w:r>
      <w:r w:rsidR="00C240D7">
        <w:rPr>
          <w:rFonts w:cs="Segoe UI"/>
          <w:color w:val="212529"/>
          <w:lang w:val="en"/>
        </w:rPr>
        <w:t>,</w:t>
      </w:r>
      <w:r w:rsidR="00707478">
        <w:rPr>
          <w:rFonts w:cs="Segoe UI"/>
          <w:color w:val="212529"/>
          <w:lang w:val="en"/>
        </w:rPr>
        <w:t xml:space="preserve"> </w:t>
      </w:r>
      <w:r w:rsidR="00C240D7">
        <w:rPr>
          <w:rFonts w:cs="Segoe UI"/>
          <w:color w:val="212529"/>
          <w:lang w:val="en"/>
        </w:rPr>
        <w:t xml:space="preserve"> or</w:t>
      </w:r>
      <w:proofErr w:type="gramEnd"/>
      <w:r w:rsidR="00C240D7">
        <w:rPr>
          <w:rFonts w:cs="Segoe UI"/>
          <w:color w:val="212529"/>
          <w:lang w:val="en"/>
        </w:rPr>
        <w:t xml:space="preserve"> whitening or tanning skin.</w:t>
      </w:r>
      <w:r w:rsidR="00F07EEC">
        <w:rPr>
          <w:rFonts w:cs="Segoe UI"/>
          <w:color w:val="212529"/>
          <w:lang w:val="en"/>
        </w:rPr>
        <w:t xml:space="preserve"> Does the business bear responsibility and hence liability for compensation</w:t>
      </w:r>
      <w:r w:rsidR="003A5C4E">
        <w:rPr>
          <w:rFonts w:cs="Segoe UI"/>
          <w:color w:val="212529"/>
          <w:lang w:val="en"/>
        </w:rPr>
        <w:t xml:space="preserve">? Or does liability lie solely with </w:t>
      </w:r>
      <w:r w:rsidR="00F07EEC">
        <w:rPr>
          <w:rFonts w:cs="Segoe UI"/>
          <w:color w:val="212529"/>
          <w:lang w:val="en"/>
        </w:rPr>
        <w:t xml:space="preserve">the practitioner </w:t>
      </w:r>
      <w:r w:rsidR="003A5C4E">
        <w:rPr>
          <w:rFonts w:cs="Segoe UI"/>
          <w:color w:val="212529"/>
          <w:lang w:val="en"/>
        </w:rPr>
        <w:t xml:space="preserve">who </w:t>
      </w:r>
      <w:r w:rsidR="00F07EEC">
        <w:rPr>
          <w:rFonts w:cs="Segoe UI"/>
          <w:color w:val="212529"/>
          <w:lang w:val="en"/>
        </w:rPr>
        <w:t>appli</w:t>
      </w:r>
      <w:r w:rsidR="003A5C4E">
        <w:rPr>
          <w:rFonts w:cs="Segoe UI"/>
          <w:color w:val="212529"/>
          <w:lang w:val="en"/>
        </w:rPr>
        <w:t>es</w:t>
      </w:r>
      <w:r w:rsidR="00F07EEC">
        <w:rPr>
          <w:rFonts w:cs="Segoe UI"/>
          <w:color w:val="212529"/>
          <w:lang w:val="en"/>
        </w:rPr>
        <w:t xml:space="preserve"> the lotion or adhesive, </w:t>
      </w:r>
      <w:proofErr w:type="spellStart"/>
      <w:r w:rsidR="00F07EEC">
        <w:rPr>
          <w:rFonts w:cs="Segoe UI"/>
          <w:color w:val="212529"/>
          <w:lang w:val="en"/>
        </w:rPr>
        <w:t>colouring</w:t>
      </w:r>
      <w:proofErr w:type="spellEnd"/>
      <w:r w:rsidR="00F07EEC">
        <w:rPr>
          <w:rFonts w:cs="Segoe UI"/>
          <w:color w:val="212529"/>
          <w:lang w:val="en"/>
        </w:rPr>
        <w:t xml:space="preserve"> agent or dye, wield</w:t>
      </w:r>
      <w:r w:rsidR="003A5C4E">
        <w:rPr>
          <w:rFonts w:cs="Segoe UI"/>
          <w:color w:val="212529"/>
          <w:lang w:val="en"/>
        </w:rPr>
        <w:t>s</w:t>
      </w:r>
      <w:r w:rsidR="00F07EEC">
        <w:rPr>
          <w:rFonts w:cs="Segoe UI"/>
          <w:color w:val="212529"/>
          <w:lang w:val="en"/>
        </w:rPr>
        <w:t xml:space="preserve"> the scissors or hairdryer, wrap</w:t>
      </w:r>
      <w:r w:rsidR="003A5C4E">
        <w:rPr>
          <w:rFonts w:cs="Segoe UI"/>
          <w:color w:val="212529"/>
          <w:lang w:val="en"/>
        </w:rPr>
        <w:t>s</w:t>
      </w:r>
      <w:r w:rsidR="00F07EEC">
        <w:rPr>
          <w:rFonts w:cs="Segoe UI"/>
          <w:color w:val="212529"/>
          <w:lang w:val="en"/>
        </w:rPr>
        <w:t xml:space="preserve"> the body in mud packs or guid</w:t>
      </w:r>
      <w:r w:rsidR="003A5C4E">
        <w:rPr>
          <w:rFonts w:cs="Segoe UI"/>
          <w:color w:val="212529"/>
          <w:lang w:val="en"/>
        </w:rPr>
        <w:t>es</w:t>
      </w:r>
      <w:r w:rsidR="00F07EEC">
        <w:rPr>
          <w:rFonts w:cs="Segoe UI"/>
          <w:color w:val="212529"/>
          <w:lang w:val="en"/>
        </w:rPr>
        <w:t xml:space="preserve"> the client into a chair and position</w:t>
      </w:r>
      <w:r w:rsidR="003A5C4E">
        <w:rPr>
          <w:rFonts w:cs="Segoe UI"/>
          <w:color w:val="212529"/>
          <w:lang w:val="en"/>
        </w:rPr>
        <w:t>s</w:t>
      </w:r>
      <w:r w:rsidR="00F07EEC">
        <w:rPr>
          <w:rFonts w:cs="Segoe UI"/>
          <w:color w:val="212529"/>
          <w:lang w:val="en"/>
        </w:rPr>
        <w:t xml:space="preserve"> her head under an all-enveloping dryer</w:t>
      </w:r>
      <w:r w:rsidR="003A5C4E">
        <w:rPr>
          <w:rFonts w:cs="Segoe UI"/>
          <w:color w:val="212529"/>
          <w:lang w:val="en"/>
        </w:rPr>
        <w:t>?</w:t>
      </w:r>
    </w:p>
    <w:p w14:paraId="7788D6F5" w14:textId="57AB641F" w:rsidR="00981D94" w:rsidRDefault="00981D94" w:rsidP="00D95EE1">
      <w:pPr>
        <w:spacing w:after="0" w:line="276" w:lineRule="auto"/>
        <w:jc w:val="both"/>
        <w:rPr>
          <w:rFonts w:cs="Segoe UI"/>
          <w:color w:val="212529"/>
          <w:lang w:val="en"/>
        </w:rPr>
      </w:pPr>
    </w:p>
    <w:p w14:paraId="652CE17C" w14:textId="761B8C17" w:rsidR="00981D94" w:rsidRDefault="00981D94" w:rsidP="00D95EE1">
      <w:pPr>
        <w:spacing w:after="0" w:line="276" w:lineRule="auto"/>
        <w:jc w:val="both"/>
        <w:rPr>
          <w:rFonts w:cs="Segoe UI"/>
          <w:color w:val="212529"/>
          <w:lang w:val="en"/>
        </w:rPr>
      </w:pPr>
      <w:r>
        <w:rPr>
          <w:rFonts w:cs="Segoe UI"/>
          <w:color w:val="212529"/>
          <w:lang w:val="en"/>
        </w:rPr>
        <w:t>Originally, vicarious liability covered the employer/employee relationship. This meant liability lay in the claimant establishing, on the balance of probabilities, that:</w:t>
      </w:r>
    </w:p>
    <w:p w14:paraId="19DA5754" w14:textId="6854E67D" w:rsidR="00981D94" w:rsidRDefault="00981D94" w:rsidP="00D95EE1">
      <w:pPr>
        <w:spacing w:after="0" w:line="276" w:lineRule="auto"/>
        <w:jc w:val="both"/>
        <w:rPr>
          <w:rFonts w:cs="Segoe UI"/>
          <w:color w:val="212529"/>
          <w:lang w:val="en"/>
        </w:rPr>
      </w:pPr>
    </w:p>
    <w:p w14:paraId="10C1FDFC" w14:textId="1B01AF40" w:rsidR="00981D94" w:rsidRPr="00981D94" w:rsidRDefault="00981D94" w:rsidP="00981D94">
      <w:pPr>
        <w:pStyle w:val="ListParagraph"/>
        <w:numPr>
          <w:ilvl w:val="0"/>
          <w:numId w:val="7"/>
        </w:numPr>
        <w:spacing w:after="0" w:line="276" w:lineRule="auto"/>
        <w:jc w:val="both"/>
        <w:rPr>
          <w:rFonts w:cs="Segoe UI"/>
          <w:color w:val="212529"/>
          <w:lang w:val="en"/>
        </w:rPr>
      </w:pPr>
      <w:r w:rsidRPr="00981D94">
        <w:rPr>
          <w:rFonts w:cs="Segoe UI"/>
          <w:color w:val="212529"/>
          <w:lang w:val="en"/>
        </w:rPr>
        <w:t xml:space="preserve">The wrongdoer – errant hairdresser, slapdash beauty practitioner, less-than-professional medical practitioner or surgeon – was an </w:t>
      </w:r>
      <w:proofErr w:type="gramStart"/>
      <w:r w:rsidRPr="00981D94">
        <w:rPr>
          <w:rFonts w:cs="Segoe UI"/>
          <w:color w:val="212529"/>
          <w:lang w:val="en"/>
        </w:rPr>
        <w:t>employee;  and</w:t>
      </w:r>
      <w:proofErr w:type="gramEnd"/>
      <w:r w:rsidRPr="00981D94">
        <w:rPr>
          <w:rFonts w:cs="Segoe UI"/>
          <w:color w:val="212529"/>
          <w:lang w:val="en"/>
        </w:rPr>
        <w:t xml:space="preserve"> (that being so)</w:t>
      </w:r>
    </w:p>
    <w:p w14:paraId="650E5002" w14:textId="2AACF375" w:rsidR="00981D94" w:rsidRDefault="00981D94" w:rsidP="00981D94">
      <w:pPr>
        <w:pStyle w:val="ListParagraph"/>
        <w:numPr>
          <w:ilvl w:val="0"/>
          <w:numId w:val="7"/>
        </w:numPr>
        <w:spacing w:after="0" w:line="276" w:lineRule="auto"/>
        <w:jc w:val="both"/>
        <w:rPr>
          <w:rFonts w:cs="Segoe UI"/>
          <w:color w:val="212529"/>
          <w:lang w:val="en"/>
        </w:rPr>
      </w:pPr>
      <w:r w:rsidRPr="00981D94">
        <w:rPr>
          <w:rFonts w:cs="Segoe UI"/>
          <w:color w:val="212529"/>
          <w:lang w:val="en"/>
        </w:rPr>
        <w:t>The wrongdoing was done in the course of employment.</w:t>
      </w:r>
    </w:p>
    <w:p w14:paraId="480494BD" w14:textId="562BB1A9" w:rsidR="00981D94" w:rsidRDefault="00981D94" w:rsidP="00981D94">
      <w:pPr>
        <w:spacing w:after="0" w:line="276" w:lineRule="auto"/>
        <w:jc w:val="both"/>
        <w:rPr>
          <w:rFonts w:cs="Segoe UI"/>
          <w:color w:val="212529"/>
          <w:lang w:val="en"/>
        </w:rPr>
      </w:pPr>
    </w:p>
    <w:p w14:paraId="02A31F62" w14:textId="57E10A2A" w:rsidR="008450F7" w:rsidRDefault="008450F7" w:rsidP="00981D94">
      <w:pPr>
        <w:spacing w:after="0" w:line="276" w:lineRule="auto"/>
        <w:jc w:val="both"/>
        <w:rPr>
          <w:rFonts w:cs="Segoe UI"/>
          <w:color w:val="212529"/>
          <w:lang w:val="en"/>
        </w:rPr>
      </w:pPr>
      <w:r>
        <w:rPr>
          <w:rFonts w:cs="Segoe UI"/>
          <w:color w:val="212529"/>
          <w:lang w:val="en"/>
        </w:rPr>
        <w:lastRenderedPageBreak/>
        <w:t xml:space="preserve">Advances </w:t>
      </w:r>
      <w:r w:rsidR="00981D94">
        <w:rPr>
          <w:rFonts w:cs="Segoe UI"/>
          <w:color w:val="212529"/>
          <w:lang w:val="en"/>
        </w:rPr>
        <w:t xml:space="preserve">in the law of vicarious liability mean that </w:t>
      </w:r>
      <w:r>
        <w:rPr>
          <w:rFonts w:cs="Segoe UI"/>
          <w:color w:val="212529"/>
          <w:lang w:val="en"/>
        </w:rPr>
        <w:t xml:space="preserve">today it can </w:t>
      </w:r>
      <w:r w:rsidR="00981D94">
        <w:rPr>
          <w:rFonts w:cs="Segoe UI"/>
          <w:color w:val="212529"/>
          <w:lang w:val="en"/>
        </w:rPr>
        <w:t>apply to situations beyond employer/employee</w:t>
      </w:r>
      <w:r w:rsidR="00044C32">
        <w:rPr>
          <w:rFonts w:cs="Segoe UI"/>
          <w:color w:val="212529"/>
          <w:lang w:val="en"/>
        </w:rPr>
        <w:t xml:space="preserve"> (a contract for service)</w:t>
      </w:r>
      <w:r w:rsidR="00981D94">
        <w:rPr>
          <w:rFonts w:cs="Segoe UI"/>
          <w:color w:val="212529"/>
          <w:lang w:val="en"/>
        </w:rPr>
        <w:t xml:space="preserve">. </w:t>
      </w:r>
      <w:r w:rsidR="00B3448C">
        <w:rPr>
          <w:rFonts w:cs="Segoe UI"/>
          <w:color w:val="212529"/>
          <w:lang w:val="en"/>
        </w:rPr>
        <w:t>Considering changes in the industrial world, t</w:t>
      </w:r>
      <w:r w:rsidR="00981D94">
        <w:rPr>
          <w:rFonts w:cs="Segoe UI"/>
          <w:color w:val="212529"/>
          <w:lang w:val="en"/>
        </w:rPr>
        <w:t>his is particularly important</w:t>
      </w:r>
      <w:r w:rsidR="00B3448C">
        <w:rPr>
          <w:rFonts w:cs="Segoe UI"/>
          <w:color w:val="212529"/>
          <w:lang w:val="en"/>
        </w:rPr>
        <w:t>. E</w:t>
      </w:r>
      <w:r w:rsidR="00981D94">
        <w:rPr>
          <w:rFonts w:cs="Segoe UI"/>
          <w:color w:val="212529"/>
          <w:lang w:val="en"/>
        </w:rPr>
        <w:t>mployers have sought to escape responsibility for employee on</w:t>
      </w:r>
      <w:r>
        <w:rPr>
          <w:rFonts w:cs="Segoe UI"/>
          <w:color w:val="212529"/>
          <w:lang w:val="en"/>
        </w:rPr>
        <w:t>-</w:t>
      </w:r>
      <w:r w:rsidR="00981D94">
        <w:rPr>
          <w:rFonts w:cs="Segoe UI"/>
          <w:color w:val="212529"/>
          <w:lang w:val="en"/>
        </w:rPr>
        <w:t>costs including holiday pay, superannuatio</w:t>
      </w:r>
      <w:r w:rsidR="00044C32">
        <w:rPr>
          <w:rFonts w:cs="Segoe UI"/>
          <w:color w:val="212529"/>
          <w:lang w:val="en"/>
        </w:rPr>
        <w:t>n or national insurance</w:t>
      </w:r>
      <w:r w:rsidR="00981D94">
        <w:rPr>
          <w:rFonts w:cs="Segoe UI"/>
          <w:color w:val="212529"/>
          <w:lang w:val="en"/>
        </w:rPr>
        <w:t xml:space="preserve">, sick leave pay, maternity and parental leave, and similar work-related benefits </w:t>
      </w:r>
      <w:r>
        <w:rPr>
          <w:rFonts w:cs="Segoe UI"/>
          <w:color w:val="212529"/>
          <w:lang w:val="en"/>
        </w:rPr>
        <w:t xml:space="preserve">as well </w:t>
      </w:r>
      <w:r w:rsidR="00B3448C">
        <w:rPr>
          <w:rFonts w:cs="Segoe UI"/>
          <w:color w:val="212529"/>
          <w:lang w:val="en"/>
        </w:rPr>
        <w:t xml:space="preserve">avoiding payroll and other taxes </w:t>
      </w:r>
      <w:r w:rsidR="00981D94">
        <w:rPr>
          <w:rFonts w:cs="Segoe UI"/>
          <w:color w:val="212529"/>
          <w:lang w:val="en"/>
        </w:rPr>
        <w:t>by classifying workers as independent contractors</w:t>
      </w:r>
      <w:r w:rsidR="00044C32">
        <w:rPr>
          <w:rFonts w:cs="Segoe UI"/>
          <w:color w:val="212529"/>
          <w:lang w:val="en"/>
        </w:rPr>
        <w:t xml:space="preserve"> (a contract for services)</w:t>
      </w:r>
      <w:r w:rsidR="00981D94">
        <w:rPr>
          <w:rFonts w:cs="Segoe UI"/>
          <w:color w:val="212529"/>
          <w:lang w:val="en"/>
        </w:rPr>
        <w:t xml:space="preserve">. This </w:t>
      </w:r>
      <w:r>
        <w:rPr>
          <w:rFonts w:cs="Segoe UI"/>
          <w:color w:val="212529"/>
          <w:lang w:val="en"/>
        </w:rPr>
        <w:t xml:space="preserve">development </w:t>
      </w:r>
      <w:r w:rsidR="00981D94">
        <w:rPr>
          <w:rFonts w:cs="Segoe UI"/>
          <w:color w:val="212529"/>
          <w:lang w:val="en"/>
        </w:rPr>
        <w:t xml:space="preserve">is pronounced in hairdressing and the beauty </w:t>
      </w:r>
      <w:proofErr w:type="gramStart"/>
      <w:r w:rsidR="00981D94">
        <w:rPr>
          <w:rFonts w:cs="Segoe UI"/>
          <w:color w:val="212529"/>
          <w:lang w:val="en"/>
        </w:rPr>
        <w:t>industry</w:t>
      </w:r>
      <w:r w:rsidR="00B3448C">
        <w:rPr>
          <w:rFonts w:cs="Segoe UI"/>
          <w:color w:val="212529"/>
          <w:lang w:val="en"/>
        </w:rPr>
        <w:t xml:space="preserve"> as a whole</w:t>
      </w:r>
      <w:r w:rsidR="00981D94">
        <w:rPr>
          <w:rFonts w:cs="Segoe UI"/>
          <w:color w:val="212529"/>
          <w:lang w:val="en"/>
        </w:rPr>
        <w:t>, where</w:t>
      </w:r>
      <w:proofErr w:type="gramEnd"/>
      <w:r w:rsidR="00981D94">
        <w:rPr>
          <w:rFonts w:cs="Segoe UI"/>
          <w:color w:val="212529"/>
          <w:lang w:val="en"/>
        </w:rPr>
        <w:t xml:space="preserve"> workers are asked to supply their own equipment and even to hire the chair allocated to the clients whom they beautify. Now, rather than simply look at the stated contractual terms between the parties</w:t>
      </w:r>
      <w:r w:rsidR="00044C32">
        <w:rPr>
          <w:rFonts w:cs="Segoe UI"/>
          <w:color w:val="212529"/>
          <w:lang w:val="en"/>
        </w:rPr>
        <w:t xml:space="preserve"> or whether a worker is ‘part and parcel of the </w:t>
      </w:r>
      <w:proofErr w:type="spellStart"/>
      <w:r w:rsidR="00044C32">
        <w:rPr>
          <w:rFonts w:cs="Segoe UI"/>
          <w:color w:val="212529"/>
          <w:lang w:val="en"/>
        </w:rPr>
        <w:t>organisation</w:t>
      </w:r>
      <w:proofErr w:type="spellEnd"/>
      <w:r w:rsidR="00044C32">
        <w:rPr>
          <w:rFonts w:cs="Segoe UI"/>
          <w:color w:val="212529"/>
          <w:lang w:val="en"/>
        </w:rPr>
        <w:t>’</w:t>
      </w:r>
      <w:r w:rsidR="005D2C1A">
        <w:rPr>
          <w:rFonts w:cs="Segoe UI"/>
          <w:color w:val="212529"/>
          <w:lang w:val="en"/>
        </w:rPr>
        <w:t xml:space="preserve"> (</w:t>
      </w:r>
      <w:r w:rsidR="00044C32">
        <w:rPr>
          <w:rFonts w:cs="Segoe UI"/>
          <w:color w:val="212529"/>
          <w:lang w:val="en"/>
        </w:rPr>
        <w:t>a test developed by Lord Denning</w:t>
      </w:r>
      <w:r w:rsidR="005D2C1A">
        <w:rPr>
          <w:rFonts w:cs="Segoe UI"/>
          <w:color w:val="212529"/>
          <w:lang w:val="en"/>
        </w:rPr>
        <w:t>)</w:t>
      </w:r>
      <w:r w:rsidR="00044C32">
        <w:rPr>
          <w:rStyle w:val="EndnoteReference"/>
          <w:rFonts w:cs="Segoe UI"/>
          <w:color w:val="212529"/>
          <w:lang w:val="en"/>
        </w:rPr>
        <w:endnoteReference w:id="67"/>
      </w:r>
      <w:r w:rsidR="00981D94">
        <w:rPr>
          <w:rFonts w:cs="Segoe UI"/>
          <w:color w:val="212529"/>
          <w:lang w:val="en"/>
        </w:rPr>
        <w:t xml:space="preserve"> courts consider their </w:t>
      </w:r>
      <w:proofErr w:type="gramStart"/>
      <w:r w:rsidR="00981D94">
        <w:rPr>
          <w:rFonts w:cs="Segoe UI"/>
          <w:color w:val="212529"/>
          <w:lang w:val="en"/>
        </w:rPr>
        <w:t>relationship as a whole</w:t>
      </w:r>
      <w:proofErr w:type="gramEnd"/>
      <w:r w:rsidR="00D61819">
        <w:rPr>
          <w:rFonts w:cs="Segoe UI"/>
          <w:color w:val="212529"/>
          <w:lang w:val="en"/>
        </w:rPr>
        <w:t xml:space="preserve">. </w:t>
      </w:r>
      <w:r w:rsidR="00621B9D">
        <w:rPr>
          <w:rFonts w:cs="Segoe UI"/>
          <w:color w:val="212529"/>
          <w:lang w:val="en"/>
        </w:rPr>
        <w:t>As well, if the relationship is ‘akin to employment’ then vicarious liability may apply.</w:t>
      </w:r>
    </w:p>
    <w:p w14:paraId="27CA6680" w14:textId="77777777" w:rsidR="008450F7" w:rsidRDefault="008450F7" w:rsidP="00981D94">
      <w:pPr>
        <w:spacing w:after="0" w:line="276" w:lineRule="auto"/>
        <w:jc w:val="both"/>
        <w:rPr>
          <w:rFonts w:cs="Segoe UI"/>
          <w:color w:val="212529"/>
          <w:lang w:val="en"/>
        </w:rPr>
      </w:pPr>
    </w:p>
    <w:p w14:paraId="41BCF54E" w14:textId="43617DD5" w:rsidR="00CF2CDC" w:rsidRDefault="00D61819" w:rsidP="00981D94">
      <w:pPr>
        <w:spacing w:after="0" w:line="276" w:lineRule="auto"/>
        <w:jc w:val="both"/>
        <w:rPr>
          <w:rFonts w:cs="Segoe UI"/>
          <w:color w:val="212529"/>
          <w:lang w:val="en"/>
        </w:rPr>
      </w:pPr>
      <w:r>
        <w:rPr>
          <w:rFonts w:cs="Segoe UI"/>
          <w:color w:val="212529"/>
          <w:lang w:val="en"/>
        </w:rPr>
        <w:t>I</w:t>
      </w:r>
      <w:r w:rsidR="00CF2CDC">
        <w:rPr>
          <w:rFonts w:cs="Segoe UI"/>
          <w:color w:val="212529"/>
          <w:lang w:val="en"/>
        </w:rPr>
        <w:t xml:space="preserve">n </w:t>
      </w:r>
      <w:r w:rsidR="00CF2CDC">
        <w:rPr>
          <w:rFonts w:cs="Segoe UI"/>
          <w:i/>
          <w:iCs/>
          <w:color w:val="212529"/>
          <w:lang w:val="en"/>
        </w:rPr>
        <w:t>Lee Ting Sang v C</w:t>
      </w:r>
      <w:r w:rsidR="00F5458C">
        <w:rPr>
          <w:rFonts w:cs="Segoe UI"/>
          <w:i/>
          <w:iCs/>
          <w:color w:val="212529"/>
          <w:lang w:val="en"/>
        </w:rPr>
        <w:t>h</w:t>
      </w:r>
      <w:r w:rsidR="00CF2CDC">
        <w:rPr>
          <w:rFonts w:cs="Segoe UI"/>
          <w:i/>
          <w:iCs/>
          <w:color w:val="212529"/>
          <w:lang w:val="en"/>
        </w:rPr>
        <w:t>ung Chi-Keung</w:t>
      </w:r>
      <w:r w:rsidR="00CF2CDC">
        <w:rPr>
          <w:rFonts w:cs="Segoe UI"/>
          <w:color w:val="212529"/>
          <w:lang w:val="en"/>
        </w:rPr>
        <w:t>,</w:t>
      </w:r>
      <w:r w:rsidR="00CF2CDC">
        <w:rPr>
          <w:rStyle w:val="EndnoteReference"/>
          <w:rFonts w:cs="Segoe UI"/>
          <w:i/>
          <w:iCs/>
          <w:color w:val="212529"/>
          <w:lang w:val="en"/>
        </w:rPr>
        <w:endnoteReference w:id="68"/>
      </w:r>
      <w:r w:rsidR="00CF2CDC">
        <w:rPr>
          <w:rFonts w:cs="Segoe UI"/>
          <w:color w:val="212529"/>
          <w:lang w:val="en"/>
        </w:rPr>
        <w:t xml:space="preserve"> a case involving a worker injured on a construction site, t</w:t>
      </w:r>
      <w:r>
        <w:rPr>
          <w:rFonts w:cs="Segoe UI"/>
          <w:color w:val="212529"/>
          <w:lang w:val="en"/>
        </w:rPr>
        <w:t>he court</w:t>
      </w:r>
      <w:r w:rsidR="00CF2CDC">
        <w:rPr>
          <w:rFonts w:cs="Segoe UI"/>
          <w:color w:val="212529"/>
          <w:lang w:val="en"/>
        </w:rPr>
        <w:t xml:space="preserve"> listed </w:t>
      </w:r>
      <w:proofErr w:type="gramStart"/>
      <w:r w:rsidR="00CF2CDC">
        <w:rPr>
          <w:rFonts w:cs="Segoe UI"/>
          <w:color w:val="212529"/>
          <w:lang w:val="en"/>
        </w:rPr>
        <w:t>a number of</w:t>
      </w:r>
      <w:proofErr w:type="gramEnd"/>
      <w:r w:rsidR="00CF2CDC">
        <w:rPr>
          <w:rFonts w:cs="Segoe UI"/>
          <w:color w:val="212529"/>
          <w:lang w:val="en"/>
        </w:rPr>
        <w:t xml:space="preserve"> factors to be taken into account</w:t>
      </w:r>
      <w:r w:rsidR="00313F2A">
        <w:rPr>
          <w:rFonts w:cs="Segoe UI"/>
          <w:color w:val="212529"/>
          <w:lang w:val="en"/>
        </w:rPr>
        <w:t xml:space="preserve"> in determining the working relationship</w:t>
      </w:r>
      <w:r w:rsidR="00CF2CDC">
        <w:rPr>
          <w:rFonts w:cs="Segoe UI"/>
          <w:color w:val="212529"/>
          <w:lang w:val="en"/>
        </w:rPr>
        <w:t>, including whether the worker:</w:t>
      </w:r>
    </w:p>
    <w:p w14:paraId="7FAE9AEA" w14:textId="77777777" w:rsidR="00CF2CDC" w:rsidRDefault="00CF2CDC" w:rsidP="00981D94">
      <w:pPr>
        <w:spacing w:after="0" w:line="276" w:lineRule="auto"/>
        <w:jc w:val="both"/>
        <w:rPr>
          <w:rFonts w:cs="Segoe UI"/>
          <w:color w:val="212529"/>
          <w:lang w:val="en"/>
        </w:rPr>
      </w:pPr>
    </w:p>
    <w:p w14:paraId="522B82B3" w14:textId="39069D36" w:rsidR="00CF2CDC" w:rsidRPr="00621B9D" w:rsidRDefault="00CF2CDC" w:rsidP="00621B9D">
      <w:pPr>
        <w:pStyle w:val="ListParagraph"/>
        <w:numPr>
          <w:ilvl w:val="0"/>
          <w:numId w:val="8"/>
        </w:numPr>
        <w:spacing w:after="0" w:line="276" w:lineRule="auto"/>
        <w:jc w:val="both"/>
        <w:rPr>
          <w:rFonts w:cs="Segoe UI"/>
          <w:color w:val="212529"/>
          <w:lang w:val="en"/>
        </w:rPr>
      </w:pPr>
      <w:r w:rsidRPr="00621B9D">
        <w:rPr>
          <w:rFonts w:cs="Segoe UI"/>
          <w:color w:val="212529"/>
          <w:lang w:val="en"/>
        </w:rPr>
        <w:t xml:space="preserve">Is closely supervised – although if the worker is skilled, the impact of this factor is </w:t>
      </w:r>
      <w:proofErr w:type="gramStart"/>
      <w:r w:rsidRPr="00621B9D">
        <w:rPr>
          <w:rFonts w:cs="Segoe UI"/>
          <w:color w:val="212529"/>
          <w:lang w:val="en"/>
        </w:rPr>
        <w:t>lessened;</w:t>
      </w:r>
      <w:proofErr w:type="gramEnd"/>
    </w:p>
    <w:p w14:paraId="6109CC6D" w14:textId="110002E8" w:rsidR="00CF2CDC" w:rsidRPr="00621B9D" w:rsidRDefault="00CF2CDC" w:rsidP="00621B9D">
      <w:pPr>
        <w:pStyle w:val="ListParagraph"/>
        <w:numPr>
          <w:ilvl w:val="0"/>
          <w:numId w:val="8"/>
        </w:numPr>
        <w:spacing w:after="0" w:line="276" w:lineRule="auto"/>
        <w:jc w:val="both"/>
        <w:rPr>
          <w:rFonts w:cs="Segoe UI"/>
          <w:color w:val="212529"/>
          <w:lang w:val="en"/>
        </w:rPr>
      </w:pPr>
      <w:r w:rsidRPr="00621B9D">
        <w:rPr>
          <w:rFonts w:cs="Segoe UI"/>
          <w:color w:val="212529"/>
          <w:lang w:val="en"/>
        </w:rPr>
        <w:t xml:space="preserve">Is an integral part of the </w:t>
      </w:r>
      <w:proofErr w:type="spellStart"/>
      <w:r w:rsidRPr="00621B9D">
        <w:rPr>
          <w:rFonts w:cs="Segoe UI"/>
          <w:color w:val="212529"/>
          <w:lang w:val="en"/>
        </w:rPr>
        <w:t>organisation</w:t>
      </w:r>
      <w:proofErr w:type="spellEnd"/>
      <w:r w:rsidRPr="00621B9D">
        <w:rPr>
          <w:rFonts w:cs="Segoe UI"/>
          <w:color w:val="212529"/>
          <w:lang w:val="en"/>
        </w:rPr>
        <w:t xml:space="preserve"> or </w:t>
      </w:r>
      <w:proofErr w:type="gramStart"/>
      <w:r w:rsidRPr="00621B9D">
        <w:rPr>
          <w:rFonts w:cs="Segoe UI"/>
          <w:color w:val="212529"/>
          <w:lang w:val="en"/>
        </w:rPr>
        <w:t>business;</w:t>
      </w:r>
      <w:proofErr w:type="gramEnd"/>
    </w:p>
    <w:p w14:paraId="487C2BD6" w14:textId="44641E2C" w:rsidR="00CF2CDC" w:rsidRPr="00621B9D" w:rsidRDefault="00CF2CDC" w:rsidP="00621B9D">
      <w:pPr>
        <w:pStyle w:val="ListParagraph"/>
        <w:numPr>
          <w:ilvl w:val="0"/>
          <w:numId w:val="8"/>
        </w:numPr>
        <w:spacing w:after="0" w:line="276" w:lineRule="auto"/>
        <w:jc w:val="both"/>
        <w:rPr>
          <w:rFonts w:cs="Segoe UI"/>
          <w:color w:val="212529"/>
          <w:lang w:val="en"/>
        </w:rPr>
      </w:pPr>
      <w:r w:rsidRPr="00621B9D">
        <w:rPr>
          <w:rFonts w:cs="Segoe UI"/>
          <w:color w:val="212529"/>
          <w:lang w:val="en"/>
        </w:rPr>
        <w:t xml:space="preserve">Provides their own equipment and/or hires their own </w:t>
      </w:r>
      <w:proofErr w:type="gramStart"/>
      <w:r w:rsidRPr="00621B9D">
        <w:rPr>
          <w:rFonts w:cs="Segoe UI"/>
          <w:color w:val="212529"/>
          <w:lang w:val="en"/>
        </w:rPr>
        <w:t>workers;</w:t>
      </w:r>
      <w:proofErr w:type="gramEnd"/>
    </w:p>
    <w:p w14:paraId="012B23A8" w14:textId="4A52B0DD" w:rsidR="00CF2CDC" w:rsidRPr="00621B9D" w:rsidRDefault="00CF2CDC" w:rsidP="00621B9D">
      <w:pPr>
        <w:pStyle w:val="ListParagraph"/>
        <w:numPr>
          <w:ilvl w:val="0"/>
          <w:numId w:val="8"/>
        </w:numPr>
        <w:spacing w:after="0" w:line="276" w:lineRule="auto"/>
        <w:jc w:val="both"/>
        <w:rPr>
          <w:rFonts w:cs="Segoe UI"/>
          <w:color w:val="212529"/>
          <w:lang w:val="en"/>
        </w:rPr>
      </w:pPr>
      <w:r w:rsidRPr="00621B9D">
        <w:rPr>
          <w:rFonts w:cs="Segoe UI"/>
          <w:color w:val="212529"/>
          <w:lang w:val="en"/>
        </w:rPr>
        <w:t xml:space="preserve">Bears a financial risk as a part of the working relationship and/or profits from their good management of the work </w:t>
      </w:r>
      <w:proofErr w:type="gramStart"/>
      <w:r w:rsidRPr="00621B9D">
        <w:rPr>
          <w:rFonts w:cs="Segoe UI"/>
          <w:color w:val="212529"/>
          <w:lang w:val="en"/>
        </w:rPr>
        <w:t>done;</w:t>
      </w:r>
      <w:proofErr w:type="gramEnd"/>
    </w:p>
    <w:p w14:paraId="6157E9D9" w14:textId="5196360B" w:rsidR="00CF2CDC" w:rsidRPr="00621B9D" w:rsidRDefault="00CF2CDC" w:rsidP="00621B9D">
      <w:pPr>
        <w:pStyle w:val="ListParagraph"/>
        <w:numPr>
          <w:ilvl w:val="0"/>
          <w:numId w:val="8"/>
        </w:numPr>
        <w:spacing w:after="0" w:line="276" w:lineRule="auto"/>
        <w:jc w:val="both"/>
        <w:rPr>
          <w:rFonts w:cs="Segoe UI"/>
          <w:color w:val="212529"/>
          <w:lang w:val="en"/>
        </w:rPr>
      </w:pPr>
      <w:r w:rsidRPr="00621B9D">
        <w:rPr>
          <w:rFonts w:cs="Segoe UI"/>
          <w:color w:val="212529"/>
          <w:lang w:val="en"/>
        </w:rPr>
        <w:t xml:space="preserve">Determines their own working hours or has their working hours set by the </w:t>
      </w:r>
      <w:proofErr w:type="spellStart"/>
      <w:r w:rsidRPr="00621B9D">
        <w:rPr>
          <w:rFonts w:cs="Segoe UI"/>
          <w:color w:val="212529"/>
          <w:lang w:val="en"/>
        </w:rPr>
        <w:t>organisation</w:t>
      </w:r>
      <w:proofErr w:type="spellEnd"/>
      <w:r w:rsidRPr="00621B9D">
        <w:rPr>
          <w:rFonts w:cs="Segoe UI"/>
          <w:color w:val="212529"/>
          <w:lang w:val="en"/>
        </w:rPr>
        <w:t xml:space="preserve"> or </w:t>
      </w:r>
      <w:proofErr w:type="gramStart"/>
      <w:r w:rsidRPr="00621B9D">
        <w:rPr>
          <w:rFonts w:cs="Segoe UI"/>
          <w:color w:val="212529"/>
          <w:lang w:val="en"/>
        </w:rPr>
        <w:t>business;</w:t>
      </w:r>
      <w:proofErr w:type="gramEnd"/>
    </w:p>
    <w:p w14:paraId="0AA433A5" w14:textId="6F4FC705" w:rsidR="00CF2CDC" w:rsidRDefault="00CF2CDC" w:rsidP="00621B9D">
      <w:pPr>
        <w:pStyle w:val="ListParagraph"/>
        <w:numPr>
          <w:ilvl w:val="0"/>
          <w:numId w:val="8"/>
        </w:numPr>
        <w:spacing w:after="0" w:line="276" w:lineRule="auto"/>
        <w:jc w:val="both"/>
        <w:rPr>
          <w:rFonts w:cs="Segoe UI"/>
          <w:color w:val="212529"/>
          <w:lang w:val="en"/>
        </w:rPr>
      </w:pPr>
      <w:r w:rsidRPr="00621B9D">
        <w:rPr>
          <w:rFonts w:cs="Segoe UI"/>
          <w:color w:val="212529"/>
          <w:lang w:val="en"/>
        </w:rPr>
        <w:t xml:space="preserve">Works for the </w:t>
      </w:r>
      <w:proofErr w:type="spellStart"/>
      <w:r w:rsidRPr="00621B9D">
        <w:rPr>
          <w:rFonts w:cs="Segoe UI"/>
          <w:color w:val="212529"/>
          <w:lang w:val="en"/>
        </w:rPr>
        <w:t>organisation</w:t>
      </w:r>
      <w:proofErr w:type="spellEnd"/>
      <w:r w:rsidRPr="00621B9D">
        <w:rPr>
          <w:rFonts w:cs="Segoe UI"/>
          <w:color w:val="212529"/>
          <w:lang w:val="en"/>
        </w:rPr>
        <w:t xml:space="preserve"> or business as their ‘boss’ or </w:t>
      </w:r>
      <w:proofErr w:type="gramStart"/>
      <w:r w:rsidRPr="00621B9D">
        <w:rPr>
          <w:rFonts w:cs="Segoe UI"/>
          <w:color w:val="212529"/>
          <w:lang w:val="en"/>
        </w:rPr>
        <w:t>manager, or</w:t>
      </w:r>
      <w:proofErr w:type="gramEnd"/>
      <w:r w:rsidRPr="00621B9D">
        <w:rPr>
          <w:rFonts w:cs="Segoe UI"/>
          <w:color w:val="212529"/>
          <w:lang w:val="en"/>
        </w:rPr>
        <w:t xml:space="preserve"> is in business on their own account.</w:t>
      </w:r>
      <w:r>
        <w:rPr>
          <w:rStyle w:val="EndnoteReference"/>
          <w:rFonts w:cs="Segoe UI"/>
          <w:color w:val="212529"/>
          <w:lang w:val="en"/>
        </w:rPr>
        <w:endnoteReference w:id="69"/>
      </w:r>
    </w:p>
    <w:p w14:paraId="6292FBE2" w14:textId="24C2CF71" w:rsidR="00B3448C" w:rsidRDefault="00B3448C" w:rsidP="00B3448C">
      <w:pPr>
        <w:spacing w:after="0" w:line="276" w:lineRule="auto"/>
        <w:jc w:val="both"/>
        <w:rPr>
          <w:rFonts w:cs="Segoe UI"/>
          <w:color w:val="212529"/>
          <w:lang w:val="en"/>
        </w:rPr>
      </w:pPr>
    </w:p>
    <w:p w14:paraId="609CED80" w14:textId="2F15E884" w:rsidR="00B3448C" w:rsidRDefault="00B3448C" w:rsidP="00B3448C">
      <w:pPr>
        <w:spacing w:after="0" w:line="276" w:lineRule="auto"/>
        <w:jc w:val="both"/>
        <w:rPr>
          <w:rFonts w:cs="Segoe UI"/>
          <w:color w:val="212529"/>
          <w:lang w:val="en"/>
        </w:rPr>
      </w:pPr>
      <w:r>
        <w:rPr>
          <w:rFonts w:cs="Segoe UI"/>
          <w:color w:val="212529"/>
          <w:lang w:val="en"/>
        </w:rPr>
        <w:t xml:space="preserve">In </w:t>
      </w:r>
      <w:r>
        <w:rPr>
          <w:rFonts w:cs="Segoe UI"/>
          <w:i/>
          <w:iCs/>
          <w:color w:val="212529"/>
          <w:lang w:val="en"/>
        </w:rPr>
        <w:t>Various Claimants v Catholic Child Welfare Society (the Christian Brothers case)</w:t>
      </w:r>
      <w:r>
        <w:rPr>
          <w:rStyle w:val="EndnoteReference"/>
          <w:rFonts w:cs="Segoe UI"/>
          <w:i/>
          <w:iCs/>
          <w:color w:val="212529"/>
          <w:lang w:val="en"/>
        </w:rPr>
        <w:endnoteReference w:id="70"/>
      </w:r>
      <w:r w:rsidR="003323A3">
        <w:rPr>
          <w:rFonts w:cs="Segoe UI"/>
          <w:color w:val="212529"/>
          <w:lang w:val="en"/>
        </w:rPr>
        <w:t xml:space="preserve"> the court listed factors which make it fair, </w:t>
      </w:r>
      <w:proofErr w:type="gramStart"/>
      <w:r w:rsidR="003323A3">
        <w:rPr>
          <w:rFonts w:cs="Segoe UI"/>
          <w:color w:val="212529"/>
          <w:lang w:val="en"/>
        </w:rPr>
        <w:t>just</w:t>
      </w:r>
      <w:proofErr w:type="gramEnd"/>
      <w:r w:rsidR="003323A3">
        <w:rPr>
          <w:rFonts w:cs="Segoe UI"/>
          <w:color w:val="212529"/>
          <w:lang w:val="en"/>
        </w:rPr>
        <w:t xml:space="preserve"> and reasonable for vicarious liability to be imposed on an </w:t>
      </w:r>
      <w:proofErr w:type="spellStart"/>
      <w:r w:rsidR="003323A3">
        <w:rPr>
          <w:rFonts w:cs="Segoe UI"/>
          <w:color w:val="212529"/>
          <w:lang w:val="en"/>
        </w:rPr>
        <w:t>organisation</w:t>
      </w:r>
      <w:proofErr w:type="spellEnd"/>
      <w:r w:rsidR="003323A3">
        <w:rPr>
          <w:rFonts w:cs="Segoe UI"/>
          <w:color w:val="212529"/>
          <w:lang w:val="en"/>
        </w:rPr>
        <w:t xml:space="preserve"> or business</w:t>
      </w:r>
      <w:r w:rsidR="00771435">
        <w:rPr>
          <w:rFonts w:cs="Segoe UI"/>
          <w:color w:val="212529"/>
          <w:lang w:val="en"/>
        </w:rPr>
        <w:t xml:space="preserve"> as a matter of public policy</w:t>
      </w:r>
      <w:r w:rsidR="00B926AA">
        <w:rPr>
          <w:rFonts w:cs="Segoe UI"/>
          <w:color w:val="212529"/>
          <w:lang w:val="en"/>
        </w:rPr>
        <w:t xml:space="preserve">. Although insurance is not a sole reason for determining liability, it is a matter to be </w:t>
      </w:r>
      <w:proofErr w:type="gramStart"/>
      <w:r w:rsidR="00B926AA">
        <w:rPr>
          <w:rFonts w:cs="Segoe UI"/>
          <w:color w:val="212529"/>
          <w:lang w:val="en"/>
        </w:rPr>
        <w:t>taken into account</w:t>
      </w:r>
      <w:proofErr w:type="gramEnd"/>
      <w:r w:rsidR="00771435">
        <w:rPr>
          <w:rFonts w:cs="Segoe UI"/>
          <w:color w:val="212529"/>
          <w:lang w:val="en"/>
        </w:rPr>
        <w:t xml:space="preserve">. This follows, </w:t>
      </w:r>
      <w:r w:rsidR="00B926AA">
        <w:rPr>
          <w:rFonts w:cs="Segoe UI"/>
          <w:color w:val="212529"/>
          <w:lang w:val="en"/>
        </w:rPr>
        <w:t xml:space="preserve">because the employer is more likely to be able to compensate a client or patient suffering damage and generally will be insured against the risk. Further, </w:t>
      </w:r>
      <w:r w:rsidR="00771435">
        <w:rPr>
          <w:rFonts w:cs="Segoe UI"/>
          <w:color w:val="212529"/>
          <w:lang w:val="en"/>
        </w:rPr>
        <w:t xml:space="preserve">the business or </w:t>
      </w:r>
      <w:proofErr w:type="spellStart"/>
      <w:r w:rsidR="00771435">
        <w:rPr>
          <w:rFonts w:cs="Segoe UI"/>
          <w:color w:val="212529"/>
          <w:lang w:val="en"/>
        </w:rPr>
        <w:t>organisation</w:t>
      </w:r>
      <w:proofErr w:type="spellEnd"/>
      <w:r w:rsidR="00771435">
        <w:rPr>
          <w:rFonts w:cs="Segoe UI"/>
          <w:color w:val="212529"/>
          <w:lang w:val="en"/>
        </w:rPr>
        <w:t xml:space="preserve"> will have created the risk by having the activity carried out as a part of the business activity. Whether to a greater or lesser extent, the party doing the damage or causing the injury will be operating under the control of the business or </w:t>
      </w:r>
      <w:proofErr w:type="spellStart"/>
      <w:r w:rsidR="00771435">
        <w:rPr>
          <w:rFonts w:cs="Segoe UI"/>
          <w:color w:val="212529"/>
          <w:lang w:val="en"/>
        </w:rPr>
        <w:t>organisation</w:t>
      </w:r>
      <w:proofErr w:type="spellEnd"/>
      <w:r w:rsidR="00771435">
        <w:rPr>
          <w:rFonts w:cs="Segoe UI"/>
          <w:color w:val="212529"/>
          <w:lang w:val="en"/>
        </w:rPr>
        <w:t>. Finally, t</w:t>
      </w:r>
      <w:r w:rsidR="00B926AA">
        <w:rPr>
          <w:rFonts w:cs="Segoe UI"/>
          <w:color w:val="212529"/>
          <w:lang w:val="en"/>
        </w:rPr>
        <w:t xml:space="preserve">he damage or injury will have been caused </w:t>
      </w:r>
      <w:proofErr w:type="gramStart"/>
      <w:r w:rsidR="00B926AA">
        <w:rPr>
          <w:rFonts w:cs="Segoe UI"/>
          <w:color w:val="212529"/>
          <w:lang w:val="en"/>
        </w:rPr>
        <w:t>as a consequence of</w:t>
      </w:r>
      <w:proofErr w:type="gramEnd"/>
      <w:r w:rsidR="00B926AA">
        <w:rPr>
          <w:rFonts w:cs="Segoe UI"/>
          <w:color w:val="212529"/>
          <w:lang w:val="en"/>
        </w:rPr>
        <w:t xml:space="preserve"> activity carried out on behalf of the business or </w:t>
      </w:r>
      <w:proofErr w:type="spellStart"/>
      <w:r w:rsidR="00B926AA">
        <w:rPr>
          <w:rFonts w:cs="Segoe UI"/>
          <w:color w:val="212529"/>
          <w:lang w:val="en"/>
        </w:rPr>
        <w:t>organisation</w:t>
      </w:r>
      <w:proofErr w:type="spellEnd"/>
      <w:r w:rsidR="00B926AA">
        <w:rPr>
          <w:rFonts w:cs="Segoe UI"/>
          <w:color w:val="212529"/>
          <w:lang w:val="en"/>
        </w:rPr>
        <w:t xml:space="preserve">. </w:t>
      </w:r>
      <w:r w:rsidR="000102F6">
        <w:rPr>
          <w:rFonts w:cs="Segoe UI"/>
          <w:color w:val="212529"/>
          <w:lang w:val="en"/>
        </w:rPr>
        <w:t>These principles were set down by reference to the employee/employer relationship</w:t>
      </w:r>
      <w:r w:rsidR="00DB585E">
        <w:rPr>
          <w:rFonts w:cs="Segoe UI"/>
          <w:color w:val="212529"/>
          <w:lang w:val="en"/>
        </w:rPr>
        <w:t>.</w:t>
      </w:r>
      <w:r w:rsidR="000102F6">
        <w:rPr>
          <w:rFonts w:cs="Segoe UI"/>
          <w:color w:val="212529"/>
          <w:lang w:val="en"/>
        </w:rPr>
        <w:t xml:space="preserve"> </w:t>
      </w:r>
      <w:r w:rsidR="00F5458C">
        <w:rPr>
          <w:rFonts w:cs="Segoe UI"/>
          <w:color w:val="212529"/>
          <w:lang w:val="en"/>
        </w:rPr>
        <w:t>H</w:t>
      </w:r>
      <w:r w:rsidR="000102F6">
        <w:rPr>
          <w:rFonts w:cs="Segoe UI"/>
          <w:color w:val="212529"/>
          <w:lang w:val="en"/>
        </w:rPr>
        <w:t>owever, the court went on to say that in the absence of an employment contract,</w:t>
      </w:r>
      <w:r w:rsidR="00DB585E">
        <w:rPr>
          <w:rFonts w:cs="Segoe UI"/>
          <w:color w:val="212529"/>
          <w:lang w:val="en"/>
        </w:rPr>
        <w:t xml:space="preserve"> where the relation</w:t>
      </w:r>
      <w:r w:rsidR="00F5458C">
        <w:rPr>
          <w:rFonts w:cs="Segoe UI"/>
          <w:color w:val="212529"/>
          <w:lang w:val="en"/>
        </w:rPr>
        <w:t>ship has like incidents, then it ‘can properly give rise to vicarious liability on the ground that it is “akin to that between an employer and employee”’.</w:t>
      </w:r>
      <w:r w:rsidR="00F5458C">
        <w:rPr>
          <w:rStyle w:val="EndnoteReference"/>
          <w:rFonts w:cs="Segoe UI"/>
          <w:color w:val="212529"/>
          <w:lang w:val="en"/>
        </w:rPr>
        <w:endnoteReference w:id="71"/>
      </w:r>
    </w:p>
    <w:p w14:paraId="7685CD51" w14:textId="06229391" w:rsidR="008741FC" w:rsidRDefault="008741FC" w:rsidP="00B3448C">
      <w:pPr>
        <w:spacing w:after="0" w:line="276" w:lineRule="auto"/>
        <w:jc w:val="both"/>
        <w:rPr>
          <w:rFonts w:cs="Segoe UI"/>
          <w:color w:val="212529"/>
          <w:lang w:val="en"/>
        </w:rPr>
      </w:pPr>
    </w:p>
    <w:p w14:paraId="009030B2" w14:textId="0C6936FA" w:rsidR="00154774" w:rsidRDefault="008741FC" w:rsidP="00B3448C">
      <w:pPr>
        <w:spacing w:after="0" w:line="276" w:lineRule="auto"/>
        <w:jc w:val="both"/>
        <w:rPr>
          <w:rFonts w:cs="Segoe UI"/>
          <w:color w:val="212529"/>
          <w:lang w:val="en"/>
        </w:rPr>
      </w:pPr>
      <w:r>
        <w:rPr>
          <w:rFonts w:cs="Segoe UI"/>
          <w:color w:val="212529"/>
          <w:lang w:val="en"/>
        </w:rPr>
        <w:t xml:space="preserve">This is not the whole answer, however, because liability also is governed by whether the employer, </w:t>
      </w:r>
      <w:proofErr w:type="spellStart"/>
      <w:r>
        <w:rPr>
          <w:rFonts w:cs="Segoe UI"/>
          <w:color w:val="212529"/>
          <w:lang w:val="en"/>
        </w:rPr>
        <w:t>organisation</w:t>
      </w:r>
      <w:proofErr w:type="spellEnd"/>
      <w:r>
        <w:rPr>
          <w:rFonts w:cs="Segoe UI"/>
          <w:color w:val="212529"/>
          <w:lang w:val="en"/>
        </w:rPr>
        <w:t xml:space="preserve"> or business has </w:t>
      </w:r>
      <w:proofErr w:type="spellStart"/>
      <w:r>
        <w:rPr>
          <w:rFonts w:cs="Segoe UI"/>
          <w:color w:val="212529"/>
          <w:lang w:val="en"/>
        </w:rPr>
        <w:t>authorised</w:t>
      </w:r>
      <w:proofErr w:type="spellEnd"/>
      <w:r>
        <w:rPr>
          <w:rFonts w:cs="Segoe UI"/>
          <w:color w:val="212529"/>
          <w:lang w:val="en"/>
        </w:rPr>
        <w:t xml:space="preserve"> the doing of the act which led to or caused the injury or damage, or if the employee was off ‘on a frolic of his own’.</w:t>
      </w:r>
      <w:r>
        <w:rPr>
          <w:rStyle w:val="EndnoteReference"/>
          <w:rFonts w:cs="Segoe UI"/>
          <w:color w:val="212529"/>
          <w:lang w:val="en"/>
        </w:rPr>
        <w:endnoteReference w:id="72"/>
      </w:r>
      <w:r w:rsidR="0085254A">
        <w:rPr>
          <w:rFonts w:cs="Segoe UI"/>
          <w:color w:val="212529"/>
          <w:lang w:val="en"/>
        </w:rPr>
        <w:t xml:space="preserve"> Was the employee ‘engaged on her or his employers business’?</w:t>
      </w:r>
      <w:r w:rsidR="0085254A">
        <w:rPr>
          <w:rStyle w:val="EndnoteReference"/>
          <w:rFonts w:cs="Segoe UI"/>
          <w:color w:val="212529"/>
          <w:lang w:val="en"/>
        </w:rPr>
        <w:endnoteReference w:id="73"/>
      </w:r>
      <w:r w:rsidR="004B5C05">
        <w:rPr>
          <w:rFonts w:cs="Segoe UI"/>
          <w:color w:val="212529"/>
          <w:lang w:val="en"/>
        </w:rPr>
        <w:t xml:space="preserve"> Employers have been held liable where an employee drove contrary to the employer’s instructions, drove negligently in rushing through the factory gates to clock in on time, </w:t>
      </w:r>
      <w:r w:rsidR="004B5C05">
        <w:rPr>
          <w:rFonts w:cs="Segoe UI"/>
          <w:color w:val="212529"/>
          <w:lang w:val="en"/>
        </w:rPr>
        <w:lastRenderedPageBreak/>
        <w:t>or paid a minor to carryout work tasks, despite the employer’s prohibition.</w:t>
      </w:r>
      <w:r w:rsidR="004B5C05">
        <w:rPr>
          <w:rStyle w:val="EndnoteReference"/>
          <w:rFonts w:cs="Segoe UI"/>
          <w:color w:val="212529"/>
          <w:lang w:val="en"/>
        </w:rPr>
        <w:endnoteReference w:id="74"/>
      </w:r>
      <w:r w:rsidR="00A612CE">
        <w:rPr>
          <w:rFonts w:cs="Segoe UI"/>
          <w:color w:val="212529"/>
          <w:lang w:val="en"/>
        </w:rPr>
        <w:t xml:space="preserve"> Hospitals have been held vicariously liable for the negligence of doctors in their employ or in a relationship akin to that of employer/employee, just as have local authorities for negligent acts by their teachers.</w:t>
      </w:r>
      <w:r w:rsidR="00A612CE">
        <w:rPr>
          <w:rStyle w:val="EndnoteReference"/>
          <w:rFonts w:cs="Segoe UI"/>
          <w:color w:val="212529"/>
          <w:lang w:val="en"/>
        </w:rPr>
        <w:endnoteReference w:id="75"/>
      </w:r>
      <w:r w:rsidR="007A023E">
        <w:rPr>
          <w:rFonts w:cs="Segoe UI"/>
          <w:color w:val="212529"/>
          <w:lang w:val="en"/>
        </w:rPr>
        <w:t xml:space="preserve"> The principle can be extrapolated to hairdressers or beauticians, eyebrow threaders or waxers, </w:t>
      </w:r>
      <w:proofErr w:type="spellStart"/>
      <w:r w:rsidR="007A023E">
        <w:rPr>
          <w:rFonts w:cs="Segoe UI"/>
          <w:color w:val="212529"/>
          <w:lang w:val="en"/>
        </w:rPr>
        <w:t>microbladers</w:t>
      </w:r>
      <w:proofErr w:type="spellEnd"/>
      <w:r w:rsidR="007A023E">
        <w:rPr>
          <w:rFonts w:cs="Segoe UI"/>
          <w:color w:val="212529"/>
          <w:lang w:val="en"/>
        </w:rPr>
        <w:t xml:space="preserve"> and manicurists taking shortcuts or leaving creams or dyes or other products ‘on’ beyond the allotted time, or clients under hairdryers for longer than usual.</w:t>
      </w:r>
      <w:r w:rsidR="00154774">
        <w:rPr>
          <w:rFonts w:cs="Segoe UI"/>
          <w:color w:val="212529"/>
          <w:lang w:val="en"/>
        </w:rPr>
        <w:t xml:space="preserve"> </w:t>
      </w:r>
    </w:p>
    <w:p w14:paraId="3B6EC107" w14:textId="77777777" w:rsidR="00D73A98" w:rsidRDefault="00D73A98" w:rsidP="00B3448C">
      <w:pPr>
        <w:spacing w:after="0" w:line="276" w:lineRule="auto"/>
        <w:jc w:val="both"/>
        <w:rPr>
          <w:rFonts w:cs="Segoe UI"/>
          <w:color w:val="212529"/>
          <w:lang w:val="en"/>
        </w:rPr>
      </w:pPr>
    </w:p>
    <w:p w14:paraId="7783CDF5" w14:textId="44A0D97D" w:rsidR="008741FC" w:rsidRPr="009E1E08" w:rsidRDefault="00154774" w:rsidP="00B3448C">
      <w:pPr>
        <w:spacing w:after="0" w:line="276" w:lineRule="auto"/>
        <w:jc w:val="both"/>
        <w:rPr>
          <w:rFonts w:cs="Segoe UI"/>
          <w:color w:val="212529"/>
          <w:lang w:val="en"/>
        </w:rPr>
      </w:pPr>
      <w:r>
        <w:rPr>
          <w:rFonts w:cs="Segoe UI"/>
          <w:color w:val="212529"/>
          <w:lang w:val="en"/>
        </w:rPr>
        <w:t xml:space="preserve">Even where an employee’s acts are not negligent but intentionally harmful and so subject to criminal action, an employer can be held liable. The rule governing this is whether acts or conduct, albeit not </w:t>
      </w:r>
      <w:proofErr w:type="spellStart"/>
      <w:r>
        <w:rPr>
          <w:rFonts w:cs="Segoe UI"/>
          <w:color w:val="212529"/>
          <w:lang w:val="en"/>
        </w:rPr>
        <w:t>authorised</w:t>
      </w:r>
      <w:proofErr w:type="spellEnd"/>
      <w:r>
        <w:rPr>
          <w:rFonts w:cs="Segoe UI"/>
          <w:color w:val="212529"/>
          <w:lang w:val="en"/>
        </w:rPr>
        <w:t xml:space="preserve">, ‘are so connected with acts that [the employer] has </w:t>
      </w:r>
      <w:proofErr w:type="spellStart"/>
      <w:r>
        <w:rPr>
          <w:rFonts w:cs="Segoe UI"/>
          <w:color w:val="212529"/>
          <w:lang w:val="en"/>
        </w:rPr>
        <w:t>authorised</w:t>
      </w:r>
      <w:proofErr w:type="spellEnd"/>
      <w:r>
        <w:rPr>
          <w:rFonts w:cs="Segoe UI"/>
          <w:color w:val="212529"/>
          <w:lang w:val="en"/>
        </w:rPr>
        <w:t xml:space="preserve"> that they may rightly be regarded as modes – although improper modes – of doing them’.</w:t>
      </w:r>
      <w:r>
        <w:rPr>
          <w:rStyle w:val="EndnoteReference"/>
          <w:rFonts w:cs="Segoe UI"/>
          <w:color w:val="212529"/>
          <w:lang w:val="en"/>
        </w:rPr>
        <w:endnoteReference w:id="76"/>
      </w:r>
      <w:r w:rsidR="00AD5423">
        <w:rPr>
          <w:rFonts w:cs="Segoe UI"/>
          <w:color w:val="212529"/>
          <w:lang w:val="en"/>
        </w:rPr>
        <w:t xml:space="preserve"> An employer will not be vicariously liable, however, if the intentional or criminal conduct was ‘so divergent from the employment so as to be plainly alien to and wholly distinguishable from the employment’. In </w:t>
      </w:r>
      <w:r w:rsidR="00AD5423">
        <w:rPr>
          <w:rFonts w:cs="Segoe UI"/>
          <w:i/>
          <w:iCs/>
          <w:color w:val="212529"/>
          <w:lang w:val="en"/>
        </w:rPr>
        <w:t xml:space="preserve">Harrison v Michelin </w:t>
      </w:r>
      <w:proofErr w:type="spellStart"/>
      <w:r w:rsidR="00AD5423">
        <w:rPr>
          <w:rFonts w:cs="Segoe UI"/>
          <w:i/>
          <w:iCs/>
          <w:color w:val="212529"/>
          <w:lang w:val="en"/>
        </w:rPr>
        <w:t>Tyre</w:t>
      </w:r>
      <w:proofErr w:type="spellEnd"/>
      <w:r w:rsidR="00AD5423">
        <w:rPr>
          <w:rFonts w:cs="Segoe UI"/>
          <w:i/>
          <w:iCs/>
          <w:color w:val="212529"/>
          <w:lang w:val="en"/>
        </w:rPr>
        <w:t xml:space="preserve"> Co</w:t>
      </w:r>
      <w:r w:rsidR="00AD5423">
        <w:rPr>
          <w:rStyle w:val="EndnoteReference"/>
          <w:rFonts w:cs="Segoe UI"/>
          <w:i/>
          <w:iCs/>
          <w:color w:val="212529"/>
          <w:lang w:val="en"/>
        </w:rPr>
        <w:endnoteReference w:id="77"/>
      </w:r>
      <w:r w:rsidR="009E1E08">
        <w:rPr>
          <w:rFonts w:cs="Segoe UI"/>
          <w:i/>
          <w:iCs/>
          <w:color w:val="212529"/>
          <w:lang w:val="en"/>
        </w:rPr>
        <w:t xml:space="preserve"> </w:t>
      </w:r>
      <w:r w:rsidR="009E1E08">
        <w:rPr>
          <w:rFonts w:cs="Segoe UI"/>
          <w:color w:val="212529"/>
          <w:lang w:val="en"/>
        </w:rPr>
        <w:t>the court held that this question must be determined by reference to the reasonable man (or person). Finding for or against employer liability rested upon ‘whether a reasonable man looking at all the circumstances would think that the incident was part and parcel of the employment’.</w:t>
      </w:r>
      <w:r w:rsidR="009E1E08">
        <w:rPr>
          <w:rStyle w:val="EndnoteReference"/>
          <w:rFonts w:cs="Segoe UI"/>
          <w:color w:val="212529"/>
          <w:lang w:val="en"/>
        </w:rPr>
        <w:endnoteReference w:id="78"/>
      </w:r>
    </w:p>
    <w:p w14:paraId="429BBD55" w14:textId="6BBB414A" w:rsidR="007A023E" w:rsidRDefault="007A023E" w:rsidP="00B3448C">
      <w:pPr>
        <w:spacing w:after="0" w:line="276" w:lineRule="auto"/>
        <w:jc w:val="both"/>
        <w:rPr>
          <w:rFonts w:cs="Segoe UI"/>
          <w:color w:val="212529"/>
          <w:lang w:val="en"/>
        </w:rPr>
      </w:pPr>
    </w:p>
    <w:p w14:paraId="218192A3" w14:textId="709B8B46" w:rsidR="008B34E4" w:rsidRDefault="004D1740" w:rsidP="006D0E7D">
      <w:pPr>
        <w:pStyle w:val="Heading3"/>
        <w:spacing w:line="276" w:lineRule="auto"/>
        <w:jc w:val="both"/>
        <w:rPr>
          <w:rStyle w:val="Strong"/>
          <w:rFonts w:asciiTheme="minorHAnsi" w:hAnsiTheme="minorHAnsi"/>
          <w:b w:val="0"/>
          <w:bCs w:val="0"/>
          <w:sz w:val="22"/>
          <w:szCs w:val="22"/>
          <w:lang w:val="en"/>
        </w:rPr>
      </w:pPr>
      <w:r>
        <w:rPr>
          <w:rStyle w:val="Strong"/>
          <w:rFonts w:asciiTheme="minorHAnsi" w:hAnsiTheme="minorHAnsi"/>
          <w:b w:val="0"/>
          <w:bCs w:val="0"/>
          <w:sz w:val="22"/>
          <w:szCs w:val="22"/>
          <w:lang w:val="en"/>
        </w:rPr>
        <w:t xml:space="preserve">At the same time, attention must be paid to the client or patient and their role in the process. </w:t>
      </w:r>
      <w:r w:rsidR="00EF2007">
        <w:rPr>
          <w:rStyle w:val="Strong"/>
          <w:rFonts w:asciiTheme="minorHAnsi" w:hAnsiTheme="minorHAnsi"/>
          <w:b w:val="0"/>
          <w:bCs w:val="0"/>
          <w:sz w:val="22"/>
          <w:szCs w:val="22"/>
          <w:lang w:val="en"/>
        </w:rPr>
        <w:t xml:space="preserve">Ultimately, </w:t>
      </w:r>
      <w:r w:rsidR="006D0E7D">
        <w:rPr>
          <w:rStyle w:val="Strong"/>
          <w:rFonts w:asciiTheme="minorHAnsi" w:hAnsiTheme="minorHAnsi"/>
          <w:b w:val="0"/>
          <w:bCs w:val="0"/>
          <w:sz w:val="22"/>
          <w:szCs w:val="22"/>
          <w:lang w:val="en"/>
        </w:rPr>
        <w:t>case</w:t>
      </w:r>
      <w:r>
        <w:rPr>
          <w:rStyle w:val="Strong"/>
          <w:rFonts w:asciiTheme="minorHAnsi" w:hAnsiTheme="minorHAnsi"/>
          <w:b w:val="0"/>
          <w:bCs w:val="0"/>
          <w:sz w:val="22"/>
          <w:szCs w:val="22"/>
          <w:lang w:val="en"/>
        </w:rPr>
        <w:t>s</w:t>
      </w:r>
      <w:r w:rsidR="006D0E7D">
        <w:rPr>
          <w:rStyle w:val="Strong"/>
          <w:rFonts w:asciiTheme="minorHAnsi" w:hAnsiTheme="minorHAnsi"/>
          <w:b w:val="0"/>
          <w:bCs w:val="0"/>
          <w:sz w:val="22"/>
          <w:szCs w:val="22"/>
          <w:lang w:val="en"/>
        </w:rPr>
        <w:t xml:space="preserve"> may</w:t>
      </w:r>
      <w:r w:rsidR="00EF2007">
        <w:rPr>
          <w:rStyle w:val="Strong"/>
          <w:rFonts w:asciiTheme="minorHAnsi" w:hAnsiTheme="minorHAnsi"/>
          <w:b w:val="0"/>
          <w:bCs w:val="0"/>
          <w:sz w:val="22"/>
          <w:szCs w:val="22"/>
          <w:lang w:val="en"/>
        </w:rPr>
        <w:t xml:space="preserve"> </w:t>
      </w:r>
      <w:r w:rsidR="006D0E7D">
        <w:rPr>
          <w:rStyle w:val="Strong"/>
          <w:rFonts w:asciiTheme="minorHAnsi" w:hAnsiTheme="minorHAnsi"/>
          <w:b w:val="0"/>
          <w:bCs w:val="0"/>
          <w:sz w:val="22"/>
          <w:szCs w:val="22"/>
          <w:lang w:val="en"/>
        </w:rPr>
        <w:t xml:space="preserve">turn directly on the question of consent. </w:t>
      </w:r>
      <w:r w:rsidR="00EF2007">
        <w:rPr>
          <w:rStyle w:val="Strong"/>
          <w:rFonts w:asciiTheme="minorHAnsi" w:hAnsiTheme="minorHAnsi"/>
          <w:b w:val="0"/>
          <w:bCs w:val="0"/>
          <w:sz w:val="22"/>
          <w:szCs w:val="22"/>
          <w:lang w:val="en"/>
        </w:rPr>
        <w:t xml:space="preserve">This is particularly problematic in the case of aesthetic surgery, </w:t>
      </w:r>
      <w:r w:rsidR="004D0B8A">
        <w:rPr>
          <w:rStyle w:val="Strong"/>
          <w:rFonts w:asciiTheme="minorHAnsi" w:hAnsiTheme="minorHAnsi"/>
          <w:b w:val="0"/>
          <w:bCs w:val="0"/>
          <w:sz w:val="22"/>
          <w:szCs w:val="22"/>
          <w:lang w:val="en"/>
        </w:rPr>
        <w:t>where women consent to sur</w:t>
      </w:r>
      <w:r w:rsidR="00787D49">
        <w:rPr>
          <w:rStyle w:val="Strong"/>
          <w:rFonts w:asciiTheme="minorHAnsi" w:hAnsiTheme="minorHAnsi"/>
          <w:b w:val="0"/>
          <w:bCs w:val="0"/>
          <w:sz w:val="22"/>
          <w:szCs w:val="22"/>
          <w:lang w:val="en"/>
        </w:rPr>
        <w:t xml:space="preserve">gical operations </w:t>
      </w:r>
      <w:r w:rsidR="004D0B8A">
        <w:rPr>
          <w:rStyle w:val="Strong"/>
          <w:rFonts w:asciiTheme="minorHAnsi" w:hAnsiTheme="minorHAnsi"/>
          <w:b w:val="0"/>
          <w:bCs w:val="0"/>
          <w:sz w:val="22"/>
          <w:szCs w:val="22"/>
          <w:lang w:val="en"/>
        </w:rPr>
        <w:t xml:space="preserve">and cosmetic procedures as well as non-surgical </w:t>
      </w:r>
      <w:r w:rsidR="00787D49">
        <w:rPr>
          <w:rStyle w:val="Strong"/>
          <w:rFonts w:asciiTheme="minorHAnsi" w:hAnsiTheme="minorHAnsi"/>
          <w:b w:val="0"/>
          <w:bCs w:val="0"/>
          <w:sz w:val="22"/>
          <w:szCs w:val="22"/>
          <w:lang w:val="en"/>
        </w:rPr>
        <w:t xml:space="preserve">or ‘non-invasive’ </w:t>
      </w:r>
      <w:r w:rsidR="004D0B8A">
        <w:rPr>
          <w:rStyle w:val="Strong"/>
          <w:rFonts w:asciiTheme="minorHAnsi" w:hAnsiTheme="minorHAnsi"/>
          <w:b w:val="0"/>
          <w:bCs w:val="0"/>
          <w:sz w:val="22"/>
          <w:szCs w:val="22"/>
          <w:lang w:val="en"/>
        </w:rPr>
        <w:t xml:space="preserve">measures that are not designed to save life, nor to improve health </w:t>
      </w:r>
      <w:r w:rsidR="00787D49">
        <w:rPr>
          <w:rStyle w:val="Strong"/>
          <w:rFonts w:asciiTheme="minorHAnsi" w:hAnsiTheme="minorHAnsi"/>
          <w:b w:val="0"/>
          <w:bCs w:val="0"/>
          <w:sz w:val="22"/>
          <w:szCs w:val="22"/>
          <w:lang w:val="en"/>
        </w:rPr>
        <w:t>as conventionally understood</w:t>
      </w:r>
      <w:r w:rsidR="004D0B8A">
        <w:rPr>
          <w:rStyle w:val="Strong"/>
          <w:rFonts w:asciiTheme="minorHAnsi" w:hAnsiTheme="minorHAnsi"/>
          <w:b w:val="0"/>
          <w:bCs w:val="0"/>
          <w:sz w:val="22"/>
          <w:szCs w:val="22"/>
          <w:lang w:val="en"/>
        </w:rPr>
        <w:t xml:space="preserve">. Yet the risks can </w:t>
      </w:r>
      <w:r w:rsidR="00787D49">
        <w:rPr>
          <w:rStyle w:val="Strong"/>
          <w:rFonts w:asciiTheme="minorHAnsi" w:hAnsiTheme="minorHAnsi"/>
          <w:b w:val="0"/>
          <w:bCs w:val="0"/>
          <w:sz w:val="22"/>
          <w:szCs w:val="22"/>
          <w:lang w:val="en"/>
        </w:rPr>
        <w:t xml:space="preserve">be </w:t>
      </w:r>
      <w:r w:rsidR="00EF2007">
        <w:rPr>
          <w:rStyle w:val="Strong"/>
          <w:rFonts w:asciiTheme="minorHAnsi" w:hAnsiTheme="minorHAnsi"/>
          <w:b w:val="0"/>
          <w:bCs w:val="0"/>
          <w:sz w:val="22"/>
          <w:szCs w:val="22"/>
          <w:lang w:val="en"/>
        </w:rPr>
        <w:t>high</w:t>
      </w:r>
      <w:r w:rsidR="00A05675">
        <w:rPr>
          <w:rStyle w:val="Strong"/>
          <w:rFonts w:asciiTheme="minorHAnsi" w:hAnsiTheme="minorHAnsi"/>
          <w:b w:val="0"/>
          <w:bCs w:val="0"/>
          <w:sz w:val="22"/>
          <w:szCs w:val="22"/>
          <w:lang w:val="en"/>
        </w:rPr>
        <w:t>, some would say disproportionately so</w:t>
      </w:r>
      <w:r w:rsidR="00EF2007">
        <w:rPr>
          <w:rStyle w:val="Strong"/>
          <w:rFonts w:asciiTheme="minorHAnsi" w:hAnsiTheme="minorHAnsi"/>
          <w:b w:val="0"/>
          <w:bCs w:val="0"/>
          <w:sz w:val="22"/>
          <w:szCs w:val="22"/>
          <w:lang w:val="en"/>
        </w:rPr>
        <w:t xml:space="preserve">. </w:t>
      </w:r>
      <w:r w:rsidR="004D0B8A">
        <w:rPr>
          <w:rStyle w:val="Strong"/>
          <w:rFonts w:asciiTheme="minorHAnsi" w:hAnsiTheme="minorHAnsi"/>
          <w:b w:val="0"/>
          <w:bCs w:val="0"/>
          <w:sz w:val="22"/>
          <w:szCs w:val="22"/>
          <w:lang w:val="en"/>
        </w:rPr>
        <w:t xml:space="preserve">Susie Orbach in </w:t>
      </w:r>
      <w:r w:rsidR="004D0B8A">
        <w:rPr>
          <w:rStyle w:val="Strong"/>
          <w:rFonts w:asciiTheme="minorHAnsi" w:hAnsiTheme="minorHAnsi"/>
          <w:b w:val="0"/>
          <w:bCs w:val="0"/>
          <w:i/>
          <w:iCs/>
          <w:sz w:val="22"/>
          <w:szCs w:val="22"/>
          <w:lang w:val="en"/>
        </w:rPr>
        <w:t xml:space="preserve">Bodies </w:t>
      </w:r>
      <w:r w:rsidR="004D0B8A">
        <w:rPr>
          <w:rStyle w:val="Strong"/>
          <w:rFonts w:asciiTheme="minorHAnsi" w:hAnsiTheme="minorHAnsi"/>
          <w:b w:val="0"/>
          <w:bCs w:val="0"/>
          <w:sz w:val="22"/>
          <w:szCs w:val="22"/>
          <w:lang w:val="en"/>
        </w:rPr>
        <w:t>posits that the very existence of surgical and non-surgical means for ‘transforming the body’</w:t>
      </w:r>
      <w:r w:rsidR="004D0B8A">
        <w:rPr>
          <w:rStyle w:val="EndnoteReference"/>
          <w:rFonts w:asciiTheme="minorHAnsi" w:hAnsiTheme="minorHAnsi"/>
          <w:sz w:val="22"/>
          <w:szCs w:val="22"/>
          <w:lang w:val="en"/>
        </w:rPr>
        <w:endnoteReference w:id="79"/>
      </w:r>
      <w:r w:rsidR="004D0B8A">
        <w:rPr>
          <w:rStyle w:val="Strong"/>
          <w:rFonts w:asciiTheme="minorHAnsi" w:hAnsiTheme="minorHAnsi"/>
          <w:b w:val="0"/>
          <w:bCs w:val="0"/>
          <w:sz w:val="22"/>
          <w:szCs w:val="22"/>
          <w:lang w:val="en"/>
        </w:rPr>
        <w:t xml:space="preserve"> </w:t>
      </w:r>
      <w:r w:rsidR="005B29F1">
        <w:rPr>
          <w:rStyle w:val="Strong"/>
          <w:rFonts w:asciiTheme="minorHAnsi" w:hAnsiTheme="minorHAnsi"/>
          <w:b w:val="0"/>
          <w:bCs w:val="0"/>
          <w:sz w:val="22"/>
          <w:szCs w:val="22"/>
          <w:lang w:val="en"/>
        </w:rPr>
        <w:t xml:space="preserve">generates a craving to make use of all these measures to remake our bodies. </w:t>
      </w:r>
      <w:r w:rsidR="00787D49">
        <w:rPr>
          <w:rStyle w:val="Strong"/>
          <w:rFonts w:asciiTheme="minorHAnsi" w:hAnsiTheme="minorHAnsi"/>
          <w:b w:val="0"/>
          <w:bCs w:val="0"/>
          <w:sz w:val="22"/>
          <w:szCs w:val="22"/>
          <w:lang w:val="en"/>
        </w:rPr>
        <w:t xml:space="preserve">Indeed, it becomes an obligation, even a moral duty, to act. </w:t>
      </w:r>
      <w:r w:rsidR="005B29F1">
        <w:rPr>
          <w:rStyle w:val="Strong"/>
          <w:rFonts w:asciiTheme="minorHAnsi" w:hAnsiTheme="minorHAnsi"/>
          <w:b w:val="0"/>
          <w:bCs w:val="0"/>
          <w:sz w:val="22"/>
          <w:szCs w:val="22"/>
          <w:lang w:val="en"/>
        </w:rPr>
        <w:t>The fact that we ‘can transform the body’, s</w:t>
      </w:r>
      <w:r w:rsidR="00787D49">
        <w:rPr>
          <w:rStyle w:val="Strong"/>
          <w:rFonts w:asciiTheme="minorHAnsi" w:hAnsiTheme="minorHAnsi"/>
          <w:b w:val="0"/>
          <w:bCs w:val="0"/>
          <w:sz w:val="22"/>
          <w:szCs w:val="22"/>
          <w:lang w:val="en"/>
        </w:rPr>
        <w:t>ays Orbach</w:t>
      </w:r>
      <w:r w:rsidR="005B29F1">
        <w:rPr>
          <w:rStyle w:val="Strong"/>
          <w:rFonts w:asciiTheme="minorHAnsi" w:hAnsiTheme="minorHAnsi"/>
          <w:b w:val="0"/>
          <w:bCs w:val="0"/>
          <w:sz w:val="22"/>
          <w:szCs w:val="22"/>
          <w:lang w:val="en"/>
        </w:rPr>
        <w:t>, ‘makes it a site of dissatisfaction which can be overcome’.</w:t>
      </w:r>
      <w:r w:rsidR="005B29F1">
        <w:rPr>
          <w:rStyle w:val="EndnoteReference"/>
          <w:rFonts w:asciiTheme="minorHAnsi" w:hAnsiTheme="minorHAnsi"/>
          <w:sz w:val="22"/>
          <w:szCs w:val="22"/>
          <w:lang w:val="en"/>
        </w:rPr>
        <w:endnoteReference w:id="80"/>
      </w:r>
      <w:r w:rsidR="005B29F1">
        <w:rPr>
          <w:rStyle w:val="Strong"/>
          <w:rFonts w:asciiTheme="minorHAnsi" w:hAnsiTheme="minorHAnsi"/>
          <w:b w:val="0"/>
          <w:bCs w:val="0"/>
          <w:sz w:val="22"/>
          <w:szCs w:val="22"/>
          <w:lang w:val="en"/>
        </w:rPr>
        <w:t xml:space="preserve"> </w:t>
      </w:r>
      <w:r w:rsidR="001F2E2C">
        <w:rPr>
          <w:rStyle w:val="Strong"/>
          <w:rFonts w:asciiTheme="minorHAnsi" w:hAnsiTheme="minorHAnsi"/>
          <w:b w:val="0"/>
          <w:bCs w:val="0"/>
          <w:sz w:val="22"/>
          <w:szCs w:val="22"/>
          <w:lang w:val="en"/>
        </w:rPr>
        <w:t xml:space="preserve">Since the means of overcoming this </w:t>
      </w:r>
      <w:r w:rsidR="00315EBB">
        <w:rPr>
          <w:rStyle w:val="Strong"/>
          <w:rFonts w:asciiTheme="minorHAnsi" w:hAnsiTheme="minorHAnsi"/>
          <w:b w:val="0"/>
          <w:bCs w:val="0"/>
          <w:sz w:val="22"/>
          <w:szCs w:val="22"/>
          <w:lang w:val="en"/>
        </w:rPr>
        <w:t xml:space="preserve">sense of dissatisfaction is </w:t>
      </w:r>
      <w:r w:rsidR="001F2E2C">
        <w:rPr>
          <w:rStyle w:val="Strong"/>
          <w:rFonts w:asciiTheme="minorHAnsi" w:hAnsiTheme="minorHAnsi"/>
          <w:b w:val="0"/>
          <w:bCs w:val="0"/>
          <w:sz w:val="22"/>
          <w:szCs w:val="22"/>
          <w:lang w:val="en"/>
        </w:rPr>
        <w:t xml:space="preserve">so readily available, the point is reached where doing so is </w:t>
      </w:r>
      <w:r w:rsidR="00315EBB">
        <w:rPr>
          <w:rStyle w:val="Strong"/>
          <w:rFonts w:asciiTheme="minorHAnsi" w:hAnsiTheme="minorHAnsi"/>
          <w:b w:val="0"/>
          <w:bCs w:val="0"/>
          <w:sz w:val="22"/>
          <w:szCs w:val="22"/>
          <w:lang w:val="en"/>
        </w:rPr>
        <w:t xml:space="preserve">not to be tolerated. </w:t>
      </w:r>
      <w:r w:rsidR="001F2E2C">
        <w:rPr>
          <w:rStyle w:val="Strong"/>
          <w:rFonts w:asciiTheme="minorHAnsi" w:hAnsiTheme="minorHAnsi"/>
          <w:b w:val="0"/>
          <w:bCs w:val="0"/>
          <w:sz w:val="22"/>
          <w:szCs w:val="22"/>
          <w:lang w:val="en"/>
        </w:rPr>
        <w:t xml:space="preserve">Hence, </w:t>
      </w:r>
      <w:r w:rsidR="00315EBB">
        <w:rPr>
          <w:rStyle w:val="Strong"/>
          <w:rFonts w:asciiTheme="minorHAnsi" w:hAnsiTheme="minorHAnsi"/>
          <w:b w:val="0"/>
          <w:bCs w:val="0"/>
          <w:sz w:val="22"/>
          <w:szCs w:val="22"/>
          <w:lang w:val="en"/>
        </w:rPr>
        <w:t>‘</w:t>
      </w:r>
      <w:r w:rsidR="001F2E2C">
        <w:rPr>
          <w:rStyle w:val="Strong"/>
          <w:rFonts w:asciiTheme="minorHAnsi" w:hAnsiTheme="minorHAnsi"/>
          <w:b w:val="0"/>
          <w:bCs w:val="0"/>
          <w:sz w:val="22"/>
          <w:szCs w:val="22"/>
          <w:lang w:val="en"/>
        </w:rPr>
        <w:t xml:space="preserve">the </w:t>
      </w:r>
      <w:r w:rsidR="00315EBB">
        <w:rPr>
          <w:rStyle w:val="Strong"/>
          <w:rFonts w:asciiTheme="minorHAnsi" w:hAnsiTheme="minorHAnsi"/>
          <w:b w:val="0"/>
          <w:bCs w:val="0"/>
          <w:sz w:val="22"/>
          <w:szCs w:val="22"/>
          <w:lang w:val="en"/>
        </w:rPr>
        <w:t xml:space="preserve">overcoming of dissatisfaction [with our bodies] has … come to take </w:t>
      </w:r>
      <w:proofErr w:type="spellStart"/>
      <w:r w:rsidR="00315EBB">
        <w:rPr>
          <w:rStyle w:val="Strong"/>
          <w:rFonts w:asciiTheme="minorHAnsi" w:hAnsiTheme="minorHAnsi"/>
          <w:b w:val="0"/>
          <w:bCs w:val="0"/>
          <w:sz w:val="22"/>
          <w:szCs w:val="22"/>
          <w:lang w:val="en"/>
        </w:rPr>
        <w:t>centre</w:t>
      </w:r>
      <w:proofErr w:type="spellEnd"/>
      <w:r w:rsidR="00315EBB">
        <w:rPr>
          <w:rStyle w:val="Strong"/>
          <w:rFonts w:asciiTheme="minorHAnsi" w:hAnsiTheme="minorHAnsi"/>
          <w:b w:val="0"/>
          <w:bCs w:val="0"/>
          <w:sz w:val="22"/>
          <w:szCs w:val="22"/>
          <w:lang w:val="en"/>
        </w:rPr>
        <w:t xml:space="preserve"> stage’.</w:t>
      </w:r>
      <w:r w:rsidR="00315EBB">
        <w:rPr>
          <w:rStyle w:val="EndnoteReference"/>
          <w:rFonts w:asciiTheme="minorHAnsi" w:hAnsiTheme="minorHAnsi"/>
          <w:sz w:val="22"/>
          <w:szCs w:val="22"/>
          <w:lang w:val="en"/>
        </w:rPr>
        <w:endnoteReference w:id="81"/>
      </w:r>
      <w:r w:rsidR="00787D49">
        <w:rPr>
          <w:rStyle w:val="Strong"/>
          <w:rFonts w:asciiTheme="minorHAnsi" w:hAnsiTheme="minorHAnsi"/>
          <w:b w:val="0"/>
          <w:bCs w:val="0"/>
          <w:sz w:val="22"/>
          <w:szCs w:val="22"/>
          <w:lang w:val="en"/>
        </w:rPr>
        <w:t xml:space="preserve"> Plastic surgery and plastic surgeons, cosmetic surgery and cosmetic surgeons, beauticians and personal trainers represent to us that we can change everything about our bodies. </w:t>
      </w:r>
      <w:r w:rsidR="008B34E4">
        <w:rPr>
          <w:rStyle w:val="Strong"/>
          <w:rFonts w:asciiTheme="minorHAnsi" w:hAnsiTheme="minorHAnsi"/>
          <w:b w:val="0"/>
          <w:bCs w:val="0"/>
          <w:sz w:val="22"/>
          <w:szCs w:val="22"/>
          <w:lang w:val="en"/>
        </w:rPr>
        <w:t xml:space="preserve">This leads women to enter into agreements to have their bodies altered, whatever the price. </w:t>
      </w:r>
      <w:proofErr w:type="gramStart"/>
      <w:r w:rsidR="008B34E4">
        <w:rPr>
          <w:rStyle w:val="Strong"/>
          <w:rFonts w:asciiTheme="minorHAnsi" w:hAnsiTheme="minorHAnsi"/>
          <w:b w:val="0"/>
          <w:bCs w:val="0"/>
          <w:sz w:val="22"/>
          <w:szCs w:val="22"/>
          <w:lang w:val="en"/>
        </w:rPr>
        <w:t>So</w:t>
      </w:r>
      <w:proofErr w:type="gramEnd"/>
      <w:r w:rsidR="006A0D56">
        <w:rPr>
          <w:rStyle w:val="Strong"/>
          <w:rFonts w:asciiTheme="minorHAnsi" w:hAnsiTheme="minorHAnsi"/>
          <w:b w:val="0"/>
          <w:bCs w:val="0"/>
          <w:sz w:val="22"/>
          <w:szCs w:val="22"/>
          <w:lang w:val="en"/>
        </w:rPr>
        <w:t xml:space="preserve"> </w:t>
      </w:r>
      <w:r w:rsidR="008B34E4">
        <w:rPr>
          <w:rStyle w:val="Strong"/>
          <w:rFonts w:asciiTheme="minorHAnsi" w:hAnsiTheme="minorHAnsi"/>
          <w:b w:val="0"/>
          <w:bCs w:val="0"/>
          <w:sz w:val="22"/>
          <w:szCs w:val="22"/>
          <w:lang w:val="en"/>
        </w:rPr>
        <w:t xml:space="preserve">the woman wanting smooth thighs puts her body in the hands of the surgeon, ready to subject herself to a procedure he tells her is new. Rather than enquiring about potential dangers, her focus is on ‘new’ as in ‘good’ and getting rid of the cellulite that plagues her days. Instead of pausing to reflect that it may be unorthodox to go under </w:t>
      </w:r>
      <w:proofErr w:type="spellStart"/>
      <w:r w:rsidR="008B34E4">
        <w:rPr>
          <w:rStyle w:val="Strong"/>
          <w:rFonts w:asciiTheme="minorHAnsi" w:hAnsiTheme="minorHAnsi"/>
          <w:b w:val="0"/>
          <w:bCs w:val="0"/>
          <w:sz w:val="22"/>
          <w:szCs w:val="22"/>
          <w:lang w:val="en"/>
        </w:rPr>
        <w:t>anaesthetic</w:t>
      </w:r>
      <w:proofErr w:type="spellEnd"/>
      <w:r w:rsidR="008B34E4">
        <w:rPr>
          <w:rStyle w:val="Strong"/>
          <w:rFonts w:asciiTheme="minorHAnsi" w:hAnsiTheme="minorHAnsi"/>
          <w:b w:val="0"/>
          <w:bCs w:val="0"/>
          <w:sz w:val="22"/>
          <w:szCs w:val="22"/>
          <w:lang w:val="en"/>
        </w:rPr>
        <w:t xml:space="preserve"> to have fat transposed from one part of her body to another, or that an operation is serious, and not to be submitted to lightly, she thinks only of lithe legs and gently curved </w:t>
      </w:r>
      <w:proofErr w:type="gramStart"/>
      <w:r w:rsidR="008B34E4">
        <w:rPr>
          <w:rStyle w:val="Strong"/>
          <w:rFonts w:asciiTheme="minorHAnsi" w:hAnsiTheme="minorHAnsi"/>
          <w:b w:val="0"/>
          <w:bCs w:val="0"/>
          <w:sz w:val="22"/>
          <w:szCs w:val="22"/>
          <w:lang w:val="en"/>
        </w:rPr>
        <w:t>hips, and</w:t>
      </w:r>
      <w:proofErr w:type="gramEnd"/>
      <w:r w:rsidR="008B34E4">
        <w:rPr>
          <w:rStyle w:val="Strong"/>
          <w:rFonts w:asciiTheme="minorHAnsi" w:hAnsiTheme="minorHAnsi"/>
          <w:b w:val="0"/>
          <w:bCs w:val="0"/>
          <w:sz w:val="22"/>
          <w:szCs w:val="22"/>
          <w:lang w:val="en"/>
        </w:rPr>
        <w:t xml:space="preserve"> reviving past bathing costume glories. </w:t>
      </w:r>
    </w:p>
    <w:p w14:paraId="2B86D480" w14:textId="7EF222FC" w:rsidR="006D0E7D" w:rsidRDefault="00EF2007" w:rsidP="006D0E7D">
      <w:pPr>
        <w:pStyle w:val="Heading3"/>
        <w:spacing w:line="276" w:lineRule="auto"/>
        <w:jc w:val="both"/>
        <w:rPr>
          <w:rStyle w:val="Strong"/>
          <w:rFonts w:asciiTheme="minorHAnsi" w:hAnsiTheme="minorHAnsi"/>
          <w:b w:val="0"/>
          <w:bCs w:val="0"/>
          <w:sz w:val="22"/>
          <w:szCs w:val="22"/>
          <w:lang w:val="en"/>
        </w:rPr>
      </w:pPr>
      <w:r>
        <w:rPr>
          <w:rStyle w:val="Strong"/>
          <w:rFonts w:asciiTheme="minorHAnsi" w:hAnsiTheme="minorHAnsi"/>
          <w:b w:val="0"/>
          <w:bCs w:val="0"/>
          <w:sz w:val="22"/>
          <w:szCs w:val="22"/>
          <w:lang w:val="en"/>
        </w:rPr>
        <w:t>Here, eac</w:t>
      </w:r>
      <w:r w:rsidR="006D0E7D">
        <w:rPr>
          <w:rStyle w:val="Strong"/>
          <w:rFonts w:asciiTheme="minorHAnsi" w:hAnsiTheme="minorHAnsi"/>
          <w:b w:val="0"/>
          <w:bCs w:val="0"/>
          <w:sz w:val="22"/>
          <w:szCs w:val="22"/>
          <w:lang w:val="en"/>
        </w:rPr>
        <w:t xml:space="preserve">h patient </w:t>
      </w:r>
      <w:r>
        <w:rPr>
          <w:rStyle w:val="Strong"/>
          <w:rFonts w:asciiTheme="minorHAnsi" w:hAnsiTheme="minorHAnsi"/>
          <w:b w:val="0"/>
          <w:bCs w:val="0"/>
          <w:sz w:val="22"/>
          <w:szCs w:val="22"/>
          <w:lang w:val="en"/>
        </w:rPr>
        <w:t>put her life and well-being at risk</w:t>
      </w:r>
      <w:r w:rsidR="004E3718">
        <w:rPr>
          <w:rStyle w:val="Strong"/>
          <w:rFonts w:asciiTheme="minorHAnsi" w:hAnsiTheme="minorHAnsi"/>
          <w:b w:val="0"/>
          <w:bCs w:val="0"/>
          <w:sz w:val="22"/>
          <w:szCs w:val="22"/>
          <w:lang w:val="en"/>
        </w:rPr>
        <w:t xml:space="preserve">, </w:t>
      </w:r>
      <w:r w:rsidR="00D25071">
        <w:rPr>
          <w:rStyle w:val="Strong"/>
          <w:rFonts w:asciiTheme="minorHAnsi" w:hAnsiTheme="minorHAnsi"/>
          <w:b w:val="0"/>
          <w:bCs w:val="0"/>
          <w:sz w:val="22"/>
          <w:szCs w:val="22"/>
          <w:lang w:val="en"/>
        </w:rPr>
        <w:t xml:space="preserve">yearning </w:t>
      </w:r>
      <w:r>
        <w:rPr>
          <w:rStyle w:val="Strong"/>
          <w:rFonts w:asciiTheme="minorHAnsi" w:hAnsiTheme="minorHAnsi"/>
          <w:b w:val="0"/>
          <w:bCs w:val="0"/>
          <w:sz w:val="22"/>
          <w:szCs w:val="22"/>
          <w:lang w:val="en"/>
        </w:rPr>
        <w:t>to improve bodily features</w:t>
      </w:r>
      <w:r w:rsidR="004E3718">
        <w:rPr>
          <w:rStyle w:val="Strong"/>
          <w:rFonts w:asciiTheme="minorHAnsi" w:hAnsiTheme="minorHAnsi"/>
          <w:b w:val="0"/>
          <w:bCs w:val="0"/>
          <w:sz w:val="22"/>
          <w:szCs w:val="22"/>
          <w:lang w:val="en"/>
        </w:rPr>
        <w:t xml:space="preserve"> by</w:t>
      </w:r>
      <w:r w:rsidR="00D25071">
        <w:rPr>
          <w:rStyle w:val="Strong"/>
          <w:rFonts w:asciiTheme="minorHAnsi" w:hAnsiTheme="minorHAnsi"/>
          <w:b w:val="0"/>
          <w:bCs w:val="0"/>
          <w:sz w:val="22"/>
          <w:szCs w:val="22"/>
          <w:lang w:val="en"/>
        </w:rPr>
        <w:t xml:space="preserve"> remaking those that </w:t>
      </w:r>
      <w:r>
        <w:rPr>
          <w:rStyle w:val="Strong"/>
          <w:rFonts w:asciiTheme="minorHAnsi" w:hAnsiTheme="minorHAnsi"/>
          <w:b w:val="0"/>
          <w:bCs w:val="0"/>
          <w:sz w:val="22"/>
          <w:szCs w:val="22"/>
          <w:lang w:val="en"/>
        </w:rPr>
        <w:t xml:space="preserve">existed naturally. </w:t>
      </w:r>
      <w:r w:rsidR="00D25071">
        <w:rPr>
          <w:rStyle w:val="Strong"/>
          <w:rFonts w:asciiTheme="minorHAnsi" w:hAnsiTheme="minorHAnsi"/>
          <w:b w:val="0"/>
          <w:bCs w:val="0"/>
          <w:sz w:val="22"/>
          <w:szCs w:val="22"/>
          <w:lang w:val="en"/>
        </w:rPr>
        <w:t xml:space="preserve">Wanting this, each sought out the clinic, secured the surgeon, and </w:t>
      </w:r>
      <w:r w:rsidR="007C54D2">
        <w:rPr>
          <w:rStyle w:val="Strong"/>
          <w:rFonts w:asciiTheme="minorHAnsi" w:hAnsiTheme="minorHAnsi"/>
          <w:b w:val="0"/>
          <w:bCs w:val="0"/>
          <w:sz w:val="22"/>
          <w:szCs w:val="22"/>
          <w:lang w:val="en"/>
        </w:rPr>
        <w:t>acquiesced in</w:t>
      </w:r>
      <w:r w:rsidR="00D25071">
        <w:rPr>
          <w:rStyle w:val="Strong"/>
          <w:rFonts w:asciiTheme="minorHAnsi" w:hAnsiTheme="minorHAnsi"/>
          <w:b w:val="0"/>
          <w:bCs w:val="0"/>
          <w:sz w:val="22"/>
          <w:szCs w:val="22"/>
          <w:lang w:val="en"/>
        </w:rPr>
        <w:t xml:space="preserve"> </w:t>
      </w:r>
      <w:r w:rsidR="006D0E7D">
        <w:rPr>
          <w:rStyle w:val="Strong"/>
          <w:rFonts w:asciiTheme="minorHAnsi" w:hAnsiTheme="minorHAnsi"/>
          <w:b w:val="0"/>
          <w:bCs w:val="0"/>
          <w:sz w:val="22"/>
          <w:szCs w:val="22"/>
          <w:lang w:val="en"/>
        </w:rPr>
        <w:t>the treatment</w:t>
      </w:r>
      <w:r w:rsidR="00D25071">
        <w:rPr>
          <w:rStyle w:val="Strong"/>
          <w:rFonts w:asciiTheme="minorHAnsi" w:hAnsiTheme="minorHAnsi"/>
          <w:b w:val="0"/>
          <w:bCs w:val="0"/>
          <w:sz w:val="22"/>
          <w:szCs w:val="22"/>
          <w:lang w:val="en"/>
        </w:rPr>
        <w:t xml:space="preserve">. </w:t>
      </w:r>
      <w:r w:rsidR="006D0E7D">
        <w:rPr>
          <w:rStyle w:val="Strong"/>
          <w:rFonts w:asciiTheme="minorHAnsi" w:hAnsiTheme="minorHAnsi"/>
          <w:b w:val="0"/>
          <w:bCs w:val="0"/>
          <w:sz w:val="22"/>
          <w:szCs w:val="22"/>
          <w:lang w:val="en"/>
        </w:rPr>
        <w:t xml:space="preserve"> </w:t>
      </w:r>
      <w:r w:rsidR="004E3718">
        <w:rPr>
          <w:rStyle w:val="Strong"/>
          <w:rFonts w:asciiTheme="minorHAnsi" w:hAnsiTheme="minorHAnsi"/>
          <w:b w:val="0"/>
          <w:bCs w:val="0"/>
          <w:sz w:val="22"/>
          <w:szCs w:val="22"/>
          <w:lang w:val="en"/>
        </w:rPr>
        <w:t xml:space="preserve">In the first case, it was </w:t>
      </w:r>
      <w:proofErr w:type="gramStart"/>
      <w:r w:rsidR="00947EAE">
        <w:rPr>
          <w:rStyle w:val="Strong"/>
          <w:rFonts w:asciiTheme="minorHAnsi" w:hAnsiTheme="minorHAnsi"/>
          <w:b w:val="0"/>
          <w:bCs w:val="0"/>
          <w:sz w:val="22"/>
          <w:szCs w:val="22"/>
          <w:lang w:val="en"/>
        </w:rPr>
        <w:t>consent</w:t>
      </w:r>
      <w:proofErr w:type="gramEnd"/>
      <w:r w:rsidR="00947EAE">
        <w:rPr>
          <w:rStyle w:val="Strong"/>
          <w:rFonts w:asciiTheme="minorHAnsi" w:hAnsiTheme="minorHAnsi"/>
          <w:b w:val="0"/>
          <w:bCs w:val="0"/>
          <w:sz w:val="22"/>
          <w:szCs w:val="22"/>
          <w:lang w:val="en"/>
        </w:rPr>
        <w:t xml:space="preserve"> to undergo laser liposuction</w:t>
      </w:r>
      <w:r w:rsidR="004E3718">
        <w:rPr>
          <w:rStyle w:val="Strong"/>
          <w:rFonts w:asciiTheme="minorHAnsi" w:hAnsiTheme="minorHAnsi"/>
          <w:b w:val="0"/>
          <w:bCs w:val="0"/>
          <w:sz w:val="22"/>
          <w:szCs w:val="22"/>
          <w:lang w:val="en"/>
        </w:rPr>
        <w:t xml:space="preserve">. In </w:t>
      </w:r>
      <w:r w:rsidR="00947EAE">
        <w:rPr>
          <w:rStyle w:val="Strong"/>
          <w:rFonts w:asciiTheme="minorHAnsi" w:hAnsiTheme="minorHAnsi"/>
          <w:b w:val="0"/>
          <w:bCs w:val="0"/>
          <w:sz w:val="22"/>
          <w:szCs w:val="22"/>
          <w:lang w:val="en"/>
        </w:rPr>
        <w:t xml:space="preserve">the </w:t>
      </w:r>
      <w:r w:rsidR="004E3718">
        <w:rPr>
          <w:rStyle w:val="Strong"/>
          <w:rFonts w:asciiTheme="minorHAnsi" w:hAnsiTheme="minorHAnsi"/>
          <w:b w:val="0"/>
          <w:bCs w:val="0"/>
          <w:sz w:val="22"/>
          <w:szCs w:val="22"/>
          <w:lang w:val="en"/>
        </w:rPr>
        <w:t>consent was to submit to the</w:t>
      </w:r>
      <w:r w:rsidR="00947EAE">
        <w:rPr>
          <w:rStyle w:val="Strong"/>
          <w:rFonts w:asciiTheme="minorHAnsi" w:hAnsiTheme="minorHAnsi"/>
          <w:b w:val="0"/>
          <w:bCs w:val="0"/>
          <w:sz w:val="22"/>
          <w:szCs w:val="22"/>
          <w:lang w:val="en"/>
        </w:rPr>
        <w:t xml:space="preserve"> traditional procedure. Yet was it consent in the legally required sense</w:t>
      </w:r>
      <w:r w:rsidR="004E3718">
        <w:rPr>
          <w:rStyle w:val="Strong"/>
          <w:rFonts w:asciiTheme="minorHAnsi" w:hAnsiTheme="minorHAnsi"/>
          <w:b w:val="0"/>
          <w:bCs w:val="0"/>
          <w:sz w:val="22"/>
          <w:szCs w:val="22"/>
          <w:lang w:val="en"/>
        </w:rPr>
        <w:t xml:space="preserve">, that is, </w:t>
      </w:r>
      <w:r w:rsidR="006D0E7D">
        <w:rPr>
          <w:rStyle w:val="Strong"/>
          <w:rFonts w:asciiTheme="minorHAnsi" w:hAnsiTheme="minorHAnsi"/>
          <w:b w:val="0"/>
          <w:bCs w:val="0"/>
          <w:sz w:val="22"/>
          <w:szCs w:val="22"/>
          <w:lang w:val="en"/>
        </w:rPr>
        <w:t>informed consent</w:t>
      </w:r>
      <w:r w:rsidR="004E3718">
        <w:rPr>
          <w:rStyle w:val="Strong"/>
          <w:rFonts w:asciiTheme="minorHAnsi" w:hAnsiTheme="minorHAnsi"/>
          <w:b w:val="0"/>
          <w:bCs w:val="0"/>
          <w:sz w:val="22"/>
          <w:szCs w:val="22"/>
          <w:lang w:val="en"/>
        </w:rPr>
        <w:t>? I</w:t>
      </w:r>
      <w:r w:rsidR="006D0E7D">
        <w:rPr>
          <w:rStyle w:val="Strong"/>
          <w:rFonts w:asciiTheme="minorHAnsi" w:hAnsiTheme="minorHAnsi"/>
          <w:b w:val="0"/>
          <w:bCs w:val="0"/>
          <w:sz w:val="22"/>
          <w:szCs w:val="22"/>
          <w:lang w:val="en"/>
        </w:rPr>
        <w:t xml:space="preserve">n neither case was the patient informed of the risk associated with liposuction, and in the first the patient was denied knowledge of the doctor’s lack of competence in </w:t>
      </w:r>
      <w:r w:rsidR="006D0E7D">
        <w:rPr>
          <w:rStyle w:val="Strong"/>
          <w:rFonts w:asciiTheme="minorHAnsi" w:hAnsiTheme="minorHAnsi"/>
          <w:b w:val="0"/>
          <w:bCs w:val="0"/>
          <w:sz w:val="22"/>
          <w:szCs w:val="22"/>
          <w:lang w:val="en"/>
        </w:rPr>
        <w:lastRenderedPageBreak/>
        <w:t xml:space="preserve">using the equipment, through lack of training and lack of experience. Turning, then, to negligence cases setting the parameters of informed consent, </w:t>
      </w:r>
      <w:r w:rsidR="006A0D56">
        <w:rPr>
          <w:rStyle w:val="Strong"/>
          <w:rFonts w:asciiTheme="minorHAnsi" w:hAnsiTheme="minorHAnsi"/>
          <w:b w:val="0"/>
          <w:bCs w:val="0"/>
          <w:sz w:val="22"/>
          <w:szCs w:val="22"/>
          <w:lang w:val="en"/>
        </w:rPr>
        <w:t xml:space="preserve">originally the </w:t>
      </w:r>
      <w:r w:rsidR="00947EAE">
        <w:rPr>
          <w:rStyle w:val="Strong"/>
          <w:rFonts w:asciiTheme="minorHAnsi" w:hAnsiTheme="minorHAnsi"/>
          <w:b w:val="0"/>
          <w:bCs w:val="0"/>
          <w:i/>
          <w:iCs/>
          <w:sz w:val="22"/>
          <w:szCs w:val="22"/>
          <w:lang w:val="en"/>
        </w:rPr>
        <w:t>Bolam</w:t>
      </w:r>
      <w:r w:rsidR="00C53FB8">
        <w:rPr>
          <w:rStyle w:val="Strong"/>
          <w:rFonts w:asciiTheme="minorHAnsi" w:hAnsiTheme="minorHAnsi"/>
          <w:b w:val="0"/>
          <w:bCs w:val="0"/>
          <w:i/>
          <w:iCs/>
          <w:sz w:val="22"/>
          <w:szCs w:val="22"/>
          <w:lang w:val="en"/>
        </w:rPr>
        <w:t xml:space="preserve"> case</w:t>
      </w:r>
      <w:r w:rsidR="006A0D56">
        <w:rPr>
          <w:rStyle w:val="Strong"/>
          <w:rFonts w:asciiTheme="minorHAnsi" w:hAnsiTheme="minorHAnsi"/>
          <w:b w:val="0"/>
          <w:bCs w:val="0"/>
          <w:i/>
          <w:iCs/>
          <w:sz w:val="22"/>
          <w:szCs w:val="22"/>
          <w:lang w:val="en"/>
        </w:rPr>
        <w:t xml:space="preserve"> </w:t>
      </w:r>
      <w:r w:rsidR="006A0D56">
        <w:rPr>
          <w:rStyle w:val="Strong"/>
          <w:rFonts w:asciiTheme="minorHAnsi" w:hAnsiTheme="minorHAnsi"/>
          <w:b w:val="0"/>
          <w:bCs w:val="0"/>
          <w:sz w:val="22"/>
          <w:szCs w:val="22"/>
          <w:lang w:val="en"/>
        </w:rPr>
        <w:t>set the leading test</w:t>
      </w:r>
      <w:r w:rsidR="00947EAE">
        <w:rPr>
          <w:rStyle w:val="Strong"/>
          <w:rFonts w:asciiTheme="minorHAnsi" w:hAnsiTheme="minorHAnsi"/>
          <w:b w:val="0"/>
          <w:bCs w:val="0"/>
          <w:sz w:val="22"/>
          <w:szCs w:val="22"/>
          <w:lang w:val="en"/>
        </w:rPr>
        <w:t>.</w:t>
      </w:r>
      <w:r w:rsidR="00947EAE">
        <w:rPr>
          <w:rStyle w:val="EndnoteReference"/>
          <w:rFonts w:cs="Segoe UI"/>
          <w:color w:val="212529"/>
          <w:lang w:val="en"/>
        </w:rPr>
        <w:endnoteReference w:id="82"/>
      </w:r>
      <w:r w:rsidR="00CD04BC">
        <w:rPr>
          <w:rStyle w:val="Strong"/>
          <w:rFonts w:asciiTheme="minorHAnsi" w:hAnsiTheme="minorHAnsi"/>
          <w:b w:val="0"/>
          <w:bCs w:val="0"/>
          <w:sz w:val="22"/>
          <w:szCs w:val="22"/>
          <w:lang w:val="en"/>
        </w:rPr>
        <w:t xml:space="preserve"> </w:t>
      </w:r>
    </w:p>
    <w:p w14:paraId="430A08D5" w14:textId="00BE0C12" w:rsidR="00CD04BC" w:rsidRDefault="00CD04BC" w:rsidP="006D0E7D">
      <w:pPr>
        <w:pStyle w:val="Heading3"/>
        <w:spacing w:line="276" w:lineRule="auto"/>
        <w:jc w:val="both"/>
        <w:rPr>
          <w:rStyle w:val="Strong"/>
          <w:rFonts w:asciiTheme="minorHAnsi" w:hAnsiTheme="minorHAnsi"/>
          <w:b w:val="0"/>
          <w:bCs w:val="0"/>
          <w:sz w:val="22"/>
          <w:szCs w:val="22"/>
          <w:lang w:val="en"/>
        </w:rPr>
      </w:pPr>
      <w:r>
        <w:rPr>
          <w:rStyle w:val="Strong"/>
          <w:rFonts w:asciiTheme="minorHAnsi" w:hAnsiTheme="minorHAnsi"/>
          <w:b w:val="0"/>
          <w:bCs w:val="0"/>
          <w:sz w:val="22"/>
          <w:szCs w:val="22"/>
          <w:lang w:val="en"/>
        </w:rPr>
        <w:t xml:space="preserve">The basic principle in </w:t>
      </w:r>
      <w:r>
        <w:rPr>
          <w:rStyle w:val="Strong"/>
          <w:rFonts w:asciiTheme="minorHAnsi" w:hAnsiTheme="minorHAnsi"/>
          <w:b w:val="0"/>
          <w:bCs w:val="0"/>
          <w:i/>
          <w:iCs/>
          <w:sz w:val="22"/>
          <w:szCs w:val="22"/>
          <w:lang w:val="en"/>
        </w:rPr>
        <w:t>Bolam</w:t>
      </w:r>
      <w:r w:rsidR="00267298">
        <w:rPr>
          <w:rStyle w:val="Strong"/>
          <w:rFonts w:asciiTheme="minorHAnsi" w:hAnsiTheme="minorHAnsi"/>
          <w:b w:val="0"/>
          <w:bCs w:val="0"/>
          <w:i/>
          <w:iCs/>
          <w:sz w:val="22"/>
          <w:szCs w:val="22"/>
          <w:lang w:val="en"/>
        </w:rPr>
        <w:t>’s case</w:t>
      </w:r>
      <w:r>
        <w:rPr>
          <w:rStyle w:val="Strong"/>
          <w:rFonts w:asciiTheme="minorHAnsi" w:hAnsiTheme="minorHAnsi"/>
          <w:b w:val="0"/>
          <w:bCs w:val="0"/>
          <w:i/>
          <w:iCs/>
          <w:sz w:val="22"/>
          <w:szCs w:val="22"/>
          <w:lang w:val="en"/>
        </w:rPr>
        <w:t xml:space="preserve"> </w:t>
      </w:r>
      <w:r w:rsidR="006A0D56">
        <w:rPr>
          <w:rStyle w:val="Strong"/>
          <w:rFonts w:asciiTheme="minorHAnsi" w:hAnsiTheme="minorHAnsi"/>
          <w:b w:val="0"/>
          <w:bCs w:val="0"/>
          <w:sz w:val="22"/>
          <w:szCs w:val="22"/>
          <w:lang w:val="en"/>
        </w:rPr>
        <w:t xml:space="preserve">for </w:t>
      </w:r>
      <w:r>
        <w:rPr>
          <w:rStyle w:val="Strong"/>
          <w:rFonts w:asciiTheme="minorHAnsi" w:hAnsiTheme="minorHAnsi"/>
          <w:b w:val="0"/>
          <w:bCs w:val="0"/>
          <w:sz w:val="22"/>
          <w:szCs w:val="22"/>
          <w:lang w:val="en"/>
        </w:rPr>
        <w:t>consent to medical treatment is that general risks must be disclosed to the adult patient with the capacity to make decisions for treatment.</w:t>
      </w:r>
      <w:r w:rsidR="00FF0465">
        <w:rPr>
          <w:rStyle w:val="EndnoteReference"/>
          <w:rFonts w:asciiTheme="minorHAnsi" w:hAnsiTheme="minorHAnsi"/>
          <w:sz w:val="22"/>
          <w:szCs w:val="22"/>
          <w:lang w:val="en"/>
        </w:rPr>
        <w:endnoteReference w:id="83"/>
      </w:r>
      <w:r>
        <w:rPr>
          <w:rStyle w:val="Strong"/>
          <w:rFonts w:asciiTheme="minorHAnsi" w:hAnsiTheme="minorHAnsi"/>
          <w:b w:val="0"/>
          <w:bCs w:val="0"/>
          <w:sz w:val="22"/>
          <w:szCs w:val="22"/>
          <w:lang w:val="en"/>
        </w:rPr>
        <w:t xml:space="preserve"> </w:t>
      </w:r>
      <w:r w:rsidR="00267298">
        <w:rPr>
          <w:rStyle w:val="Strong"/>
          <w:rFonts w:asciiTheme="minorHAnsi" w:hAnsiTheme="minorHAnsi"/>
          <w:b w:val="0"/>
          <w:bCs w:val="0"/>
          <w:sz w:val="22"/>
          <w:szCs w:val="22"/>
          <w:lang w:val="en"/>
        </w:rPr>
        <w:t xml:space="preserve">According to </w:t>
      </w:r>
      <w:r w:rsidR="00267298">
        <w:rPr>
          <w:rStyle w:val="Strong"/>
          <w:rFonts w:asciiTheme="minorHAnsi" w:hAnsiTheme="minorHAnsi"/>
          <w:b w:val="0"/>
          <w:bCs w:val="0"/>
          <w:i/>
          <w:iCs/>
          <w:sz w:val="22"/>
          <w:szCs w:val="22"/>
          <w:lang w:val="en"/>
        </w:rPr>
        <w:t>Bolam</w:t>
      </w:r>
      <w:r w:rsidR="00267298">
        <w:rPr>
          <w:rStyle w:val="Strong"/>
          <w:rFonts w:asciiTheme="minorHAnsi" w:hAnsiTheme="minorHAnsi"/>
          <w:b w:val="0"/>
          <w:bCs w:val="0"/>
          <w:sz w:val="22"/>
          <w:szCs w:val="22"/>
          <w:lang w:val="en"/>
        </w:rPr>
        <w:t xml:space="preserve">, a duty lies on the practitioner to inform the patient of risks of an operation or a procedure. However, this does not mean there is an obligation to advise of every possible risk. If a practitioner fails to disclose a minor risk, and the patient having consented without that information suffers injury or harm because that risk ensues, is the doctor liable in negligence? The principle established by </w:t>
      </w:r>
      <w:r w:rsidR="00267298">
        <w:rPr>
          <w:rStyle w:val="Strong"/>
          <w:rFonts w:asciiTheme="minorHAnsi" w:hAnsiTheme="minorHAnsi"/>
          <w:b w:val="0"/>
          <w:bCs w:val="0"/>
          <w:i/>
          <w:iCs/>
          <w:sz w:val="22"/>
          <w:szCs w:val="22"/>
          <w:lang w:val="en"/>
        </w:rPr>
        <w:t>Bolam’s case</w:t>
      </w:r>
      <w:r w:rsidR="00267298">
        <w:rPr>
          <w:rStyle w:val="Strong"/>
          <w:rFonts w:asciiTheme="minorHAnsi" w:hAnsiTheme="minorHAnsi"/>
          <w:b w:val="0"/>
          <w:bCs w:val="0"/>
          <w:sz w:val="22"/>
          <w:szCs w:val="22"/>
          <w:lang w:val="en"/>
        </w:rPr>
        <w:t xml:space="preserve"> is </w:t>
      </w:r>
      <w:r w:rsidR="006A0D56">
        <w:rPr>
          <w:rStyle w:val="Strong"/>
          <w:rFonts w:asciiTheme="minorHAnsi" w:hAnsiTheme="minorHAnsi"/>
          <w:b w:val="0"/>
          <w:bCs w:val="0"/>
          <w:sz w:val="22"/>
          <w:szCs w:val="22"/>
          <w:lang w:val="en"/>
        </w:rPr>
        <w:t xml:space="preserve">that </w:t>
      </w:r>
      <w:r w:rsidR="00267298">
        <w:rPr>
          <w:rStyle w:val="Strong"/>
          <w:rFonts w:asciiTheme="minorHAnsi" w:hAnsiTheme="minorHAnsi"/>
          <w:b w:val="0"/>
          <w:bCs w:val="0"/>
          <w:sz w:val="22"/>
          <w:szCs w:val="22"/>
          <w:lang w:val="en"/>
        </w:rPr>
        <w:t>so long as there is a body of professionals in the same field who would not have disclosed that minor risk, then liability does not accrue. As with the legal standard of medical care and treatment, it does not matter that another body of professionals in that field would hold otherwise.</w:t>
      </w:r>
      <w:r w:rsidR="00694BFD">
        <w:rPr>
          <w:rStyle w:val="Strong"/>
          <w:rFonts w:asciiTheme="minorHAnsi" w:hAnsiTheme="minorHAnsi"/>
          <w:b w:val="0"/>
          <w:bCs w:val="0"/>
          <w:sz w:val="22"/>
          <w:szCs w:val="22"/>
          <w:lang w:val="en"/>
        </w:rPr>
        <w:t xml:space="preserve"> This principle has been </w:t>
      </w:r>
      <w:proofErr w:type="spellStart"/>
      <w:r w:rsidR="00694BFD">
        <w:rPr>
          <w:rStyle w:val="Strong"/>
          <w:rFonts w:asciiTheme="minorHAnsi" w:hAnsiTheme="minorHAnsi"/>
          <w:b w:val="0"/>
          <w:bCs w:val="0"/>
          <w:sz w:val="22"/>
          <w:szCs w:val="22"/>
          <w:lang w:val="en"/>
        </w:rPr>
        <w:t>criticised</w:t>
      </w:r>
      <w:proofErr w:type="spellEnd"/>
      <w:r w:rsidR="00694BFD">
        <w:rPr>
          <w:rStyle w:val="Strong"/>
          <w:rFonts w:asciiTheme="minorHAnsi" w:hAnsiTheme="minorHAnsi"/>
          <w:b w:val="0"/>
          <w:bCs w:val="0"/>
          <w:sz w:val="22"/>
          <w:szCs w:val="22"/>
          <w:lang w:val="en"/>
        </w:rPr>
        <w:t xml:space="preserve"> as paternalistic. Nonetheless, it was followed by the courts until the decision in </w:t>
      </w:r>
      <w:r w:rsidR="00694BFD">
        <w:rPr>
          <w:rStyle w:val="Strong"/>
          <w:rFonts w:asciiTheme="minorHAnsi" w:hAnsiTheme="minorHAnsi"/>
          <w:b w:val="0"/>
          <w:bCs w:val="0"/>
          <w:i/>
          <w:iCs/>
          <w:sz w:val="22"/>
          <w:szCs w:val="22"/>
          <w:lang w:val="en"/>
        </w:rPr>
        <w:t>Montgomery v Lanarkshire Health Board</w:t>
      </w:r>
      <w:r w:rsidR="00694BFD">
        <w:rPr>
          <w:rStyle w:val="Strong"/>
          <w:rFonts w:asciiTheme="minorHAnsi" w:hAnsiTheme="minorHAnsi"/>
          <w:b w:val="0"/>
          <w:bCs w:val="0"/>
          <w:sz w:val="22"/>
          <w:szCs w:val="22"/>
          <w:lang w:val="en"/>
        </w:rPr>
        <w:t>.</w:t>
      </w:r>
      <w:r w:rsidR="00694BFD">
        <w:rPr>
          <w:rStyle w:val="EndnoteReference"/>
          <w:rFonts w:asciiTheme="minorHAnsi" w:hAnsiTheme="minorHAnsi"/>
          <w:sz w:val="22"/>
          <w:szCs w:val="22"/>
          <w:lang w:val="en"/>
        </w:rPr>
        <w:endnoteReference w:id="84"/>
      </w:r>
      <w:r w:rsidR="006D0CC3">
        <w:rPr>
          <w:rStyle w:val="Strong"/>
          <w:rFonts w:asciiTheme="minorHAnsi" w:hAnsiTheme="minorHAnsi"/>
          <w:b w:val="0"/>
          <w:bCs w:val="0"/>
          <w:sz w:val="22"/>
          <w:szCs w:val="22"/>
          <w:lang w:val="en"/>
        </w:rPr>
        <w:t xml:space="preserve"> </w:t>
      </w:r>
    </w:p>
    <w:p w14:paraId="788A5405" w14:textId="792D5BF5" w:rsidR="006D0CC3" w:rsidRDefault="006D0CC3" w:rsidP="00925C50">
      <w:pPr>
        <w:pStyle w:val="Heading3"/>
        <w:spacing w:line="276" w:lineRule="auto"/>
        <w:jc w:val="both"/>
        <w:rPr>
          <w:rStyle w:val="Strong"/>
          <w:rFonts w:asciiTheme="minorHAnsi" w:hAnsiTheme="minorHAnsi"/>
          <w:b w:val="0"/>
          <w:bCs w:val="0"/>
          <w:sz w:val="22"/>
          <w:szCs w:val="22"/>
          <w:lang w:val="en"/>
        </w:rPr>
      </w:pPr>
      <w:r>
        <w:rPr>
          <w:rStyle w:val="Strong"/>
          <w:rFonts w:asciiTheme="minorHAnsi" w:hAnsiTheme="minorHAnsi"/>
          <w:b w:val="0"/>
          <w:bCs w:val="0"/>
          <w:sz w:val="22"/>
          <w:szCs w:val="22"/>
          <w:lang w:val="en"/>
        </w:rPr>
        <w:t xml:space="preserve">The </w:t>
      </w:r>
      <w:r>
        <w:rPr>
          <w:rStyle w:val="Strong"/>
          <w:rFonts w:asciiTheme="minorHAnsi" w:hAnsiTheme="minorHAnsi"/>
          <w:b w:val="0"/>
          <w:bCs w:val="0"/>
          <w:i/>
          <w:iCs/>
          <w:sz w:val="22"/>
          <w:szCs w:val="22"/>
          <w:lang w:val="en"/>
        </w:rPr>
        <w:t xml:space="preserve">Montgomery case </w:t>
      </w:r>
      <w:r>
        <w:rPr>
          <w:rStyle w:val="Strong"/>
          <w:rFonts w:asciiTheme="minorHAnsi" w:hAnsiTheme="minorHAnsi"/>
          <w:b w:val="0"/>
          <w:bCs w:val="0"/>
          <w:sz w:val="22"/>
          <w:szCs w:val="22"/>
          <w:lang w:val="en"/>
        </w:rPr>
        <w:t>instated the principle of autonomy in patient-doctor decision-making. A</w:t>
      </w:r>
      <w:r w:rsidR="00CF0B5A">
        <w:rPr>
          <w:rStyle w:val="Strong"/>
          <w:rFonts w:asciiTheme="minorHAnsi" w:hAnsiTheme="minorHAnsi"/>
          <w:b w:val="0"/>
          <w:bCs w:val="0"/>
          <w:sz w:val="22"/>
          <w:szCs w:val="22"/>
          <w:lang w:val="en"/>
        </w:rPr>
        <w:t xml:space="preserve">pplying this </w:t>
      </w:r>
      <w:r>
        <w:rPr>
          <w:rStyle w:val="Strong"/>
          <w:rFonts w:asciiTheme="minorHAnsi" w:hAnsiTheme="minorHAnsi"/>
          <w:b w:val="0"/>
          <w:bCs w:val="0"/>
          <w:sz w:val="22"/>
          <w:szCs w:val="22"/>
          <w:lang w:val="en"/>
        </w:rPr>
        <w:t xml:space="preserve">in the context of negligence, the </w:t>
      </w:r>
      <w:r w:rsidR="00CF0B5A">
        <w:rPr>
          <w:rStyle w:val="Strong"/>
          <w:rFonts w:asciiTheme="minorHAnsi" w:hAnsiTheme="minorHAnsi"/>
          <w:b w:val="0"/>
          <w:bCs w:val="0"/>
          <w:sz w:val="22"/>
          <w:szCs w:val="22"/>
          <w:lang w:val="en"/>
        </w:rPr>
        <w:t xml:space="preserve">patient’s case is that </w:t>
      </w:r>
      <w:r>
        <w:rPr>
          <w:rStyle w:val="Strong"/>
          <w:rFonts w:asciiTheme="minorHAnsi" w:hAnsiTheme="minorHAnsi"/>
          <w:b w:val="0"/>
          <w:bCs w:val="0"/>
          <w:sz w:val="22"/>
          <w:szCs w:val="22"/>
          <w:lang w:val="en"/>
        </w:rPr>
        <w:t xml:space="preserve">first, the doctor did not disclose the risk. Therefore, the patient ‘consented’ to the operation or procedure without knowing that the risk was present. </w:t>
      </w:r>
      <w:r w:rsidR="00D73A98">
        <w:rPr>
          <w:rStyle w:val="Strong"/>
          <w:rFonts w:asciiTheme="minorHAnsi" w:hAnsiTheme="minorHAnsi"/>
          <w:b w:val="0"/>
          <w:bCs w:val="0"/>
          <w:sz w:val="22"/>
          <w:szCs w:val="22"/>
          <w:lang w:val="en"/>
        </w:rPr>
        <w:t xml:space="preserve">That means that consent is not valid or real. </w:t>
      </w:r>
      <w:r>
        <w:rPr>
          <w:rStyle w:val="Strong"/>
          <w:rFonts w:asciiTheme="minorHAnsi" w:hAnsiTheme="minorHAnsi"/>
          <w:b w:val="0"/>
          <w:bCs w:val="0"/>
          <w:sz w:val="22"/>
          <w:szCs w:val="22"/>
          <w:lang w:val="en"/>
        </w:rPr>
        <w:t xml:space="preserve">When the risk happens </w:t>
      </w:r>
      <w:proofErr w:type="gramStart"/>
      <w:r>
        <w:rPr>
          <w:rStyle w:val="Strong"/>
          <w:rFonts w:asciiTheme="minorHAnsi" w:hAnsiTheme="minorHAnsi"/>
          <w:b w:val="0"/>
          <w:bCs w:val="0"/>
          <w:sz w:val="22"/>
          <w:szCs w:val="22"/>
          <w:lang w:val="en"/>
        </w:rPr>
        <w:t>in the course of</w:t>
      </w:r>
      <w:proofErr w:type="gramEnd"/>
      <w:r>
        <w:rPr>
          <w:rStyle w:val="Strong"/>
          <w:rFonts w:asciiTheme="minorHAnsi" w:hAnsiTheme="minorHAnsi"/>
          <w:b w:val="0"/>
          <w:bCs w:val="0"/>
          <w:sz w:val="22"/>
          <w:szCs w:val="22"/>
          <w:lang w:val="en"/>
        </w:rPr>
        <w:t xml:space="preserve"> or as a consequence of the operation or procedure, the patient then argues that, had the risk been disclosed,</w:t>
      </w:r>
      <w:r w:rsidR="00CF0B5A">
        <w:rPr>
          <w:rStyle w:val="Strong"/>
          <w:rFonts w:asciiTheme="minorHAnsi" w:hAnsiTheme="minorHAnsi"/>
          <w:b w:val="0"/>
          <w:bCs w:val="0"/>
          <w:sz w:val="22"/>
          <w:szCs w:val="22"/>
          <w:lang w:val="en"/>
        </w:rPr>
        <w:t xml:space="preserve"> she or he w</w:t>
      </w:r>
      <w:r>
        <w:rPr>
          <w:rStyle w:val="Strong"/>
          <w:rFonts w:asciiTheme="minorHAnsi" w:hAnsiTheme="minorHAnsi"/>
          <w:b w:val="0"/>
          <w:bCs w:val="0"/>
          <w:sz w:val="22"/>
          <w:szCs w:val="22"/>
          <w:lang w:val="en"/>
        </w:rPr>
        <w:t xml:space="preserve">ould not have gone ahead with the operation. That is, would not have consented. Hence, the argument runs that secondly, the doctor has failed in her or his duty of care and </w:t>
      </w:r>
      <w:r w:rsidR="00CF0B5A">
        <w:rPr>
          <w:rStyle w:val="Strong"/>
          <w:rFonts w:asciiTheme="minorHAnsi" w:hAnsiTheme="minorHAnsi"/>
          <w:b w:val="0"/>
          <w:bCs w:val="0"/>
          <w:sz w:val="22"/>
          <w:szCs w:val="22"/>
          <w:lang w:val="en"/>
        </w:rPr>
        <w:t xml:space="preserve">thirdly that </w:t>
      </w:r>
      <w:r>
        <w:rPr>
          <w:rStyle w:val="Strong"/>
          <w:rFonts w:asciiTheme="minorHAnsi" w:hAnsiTheme="minorHAnsi"/>
          <w:b w:val="0"/>
          <w:bCs w:val="0"/>
          <w:sz w:val="22"/>
          <w:szCs w:val="22"/>
          <w:lang w:val="en"/>
        </w:rPr>
        <w:t>the injury or harm has been sustained as a result. For a claimant to win a negligence c</w:t>
      </w:r>
      <w:r w:rsidR="00DA4DBE">
        <w:rPr>
          <w:rStyle w:val="Strong"/>
          <w:rFonts w:asciiTheme="minorHAnsi" w:hAnsiTheme="minorHAnsi"/>
          <w:b w:val="0"/>
          <w:bCs w:val="0"/>
          <w:sz w:val="22"/>
          <w:szCs w:val="22"/>
          <w:lang w:val="en"/>
        </w:rPr>
        <w:t xml:space="preserve">laim </w:t>
      </w:r>
      <w:r>
        <w:rPr>
          <w:rStyle w:val="Strong"/>
          <w:rFonts w:asciiTheme="minorHAnsi" w:hAnsiTheme="minorHAnsi"/>
          <w:b w:val="0"/>
          <w:bCs w:val="0"/>
          <w:sz w:val="22"/>
          <w:szCs w:val="22"/>
          <w:lang w:val="en"/>
        </w:rPr>
        <w:t xml:space="preserve">on the ‘lack of informed consent’ basis, the </w:t>
      </w:r>
      <w:r w:rsidR="00F42776">
        <w:rPr>
          <w:rStyle w:val="Strong"/>
          <w:rFonts w:asciiTheme="minorHAnsi" w:hAnsiTheme="minorHAnsi"/>
          <w:b w:val="0"/>
          <w:bCs w:val="0"/>
          <w:sz w:val="22"/>
          <w:szCs w:val="22"/>
          <w:lang w:val="en"/>
        </w:rPr>
        <w:t>court must be satisfied, on the balance of probabilities, that the p</w:t>
      </w:r>
      <w:r w:rsidR="00CF0B5A">
        <w:rPr>
          <w:rStyle w:val="Strong"/>
          <w:rFonts w:asciiTheme="minorHAnsi" w:hAnsiTheme="minorHAnsi"/>
          <w:b w:val="0"/>
          <w:bCs w:val="0"/>
          <w:sz w:val="22"/>
          <w:szCs w:val="22"/>
          <w:lang w:val="en"/>
        </w:rPr>
        <w:t>atient’s injury was caused by the p</w:t>
      </w:r>
      <w:r w:rsidR="00F42776">
        <w:rPr>
          <w:rStyle w:val="Strong"/>
          <w:rFonts w:asciiTheme="minorHAnsi" w:hAnsiTheme="minorHAnsi"/>
          <w:b w:val="0"/>
          <w:bCs w:val="0"/>
          <w:sz w:val="22"/>
          <w:szCs w:val="22"/>
          <w:lang w:val="en"/>
        </w:rPr>
        <w:t>ractitioner’s failure to obtain the patient’s valid consent</w:t>
      </w:r>
      <w:r w:rsidR="00CF0B5A">
        <w:rPr>
          <w:rStyle w:val="Strong"/>
          <w:rFonts w:asciiTheme="minorHAnsi" w:hAnsiTheme="minorHAnsi"/>
          <w:b w:val="0"/>
          <w:bCs w:val="0"/>
          <w:sz w:val="22"/>
          <w:szCs w:val="22"/>
          <w:lang w:val="en"/>
        </w:rPr>
        <w:t>.</w:t>
      </w:r>
      <w:r w:rsidR="00F91499">
        <w:rPr>
          <w:rStyle w:val="Strong"/>
          <w:rFonts w:asciiTheme="minorHAnsi" w:hAnsiTheme="minorHAnsi"/>
          <w:b w:val="0"/>
          <w:bCs w:val="0"/>
          <w:sz w:val="22"/>
          <w:szCs w:val="22"/>
          <w:lang w:val="en"/>
        </w:rPr>
        <w:t xml:space="preserve"> The argument was formulated in the United States in 1957, when it was said that a duty lies on the medical practitioner to inform the patient of ‘any facts which are necessary to form the basis of an intelligent consent by the patient to the propo</w:t>
      </w:r>
      <w:r w:rsidR="00783051">
        <w:rPr>
          <w:rStyle w:val="Strong"/>
          <w:rFonts w:asciiTheme="minorHAnsi" w:hAnsiTheme="minorHAnsi"/>
          <w:b w:val="0"/>
          <w:bCs w:val="0"/>
          <w:sz w:val="22"/>
          <w:szCs w:val="22"/>
          <w:lang w:val="en"/>
        </w:rPr>
        <w:t>s</w:t>
      </w:r>
      <w:r w:rsidR="00F91499">
        <w:rPr>
          <w:rStyle w:val="Strong"/>
          <w:rFonts w:asciiTheme="minorHAnsi" w:hAnsiTheme="minorHAnsi"/>
          <w:b w:val="0"/>
          <w:bCs w:val="0"/>
          <w:sz w:val="22"/>
          <w:szCs w:val="22"/>
          <w:lang w:val="en"/>
        </w:rPr>
        <w:t>ed treatme</w:t>
      </w:r>
      <w:r w:rsidR="00783051">
        <w:rPr>
          <w:rStyle w:val="Strong"/>
          <w:rFonts w:asciiTheme="minorHAnsi" w:hAnsiTheme="minorHAnsi"/>
          <w:b w:val="0"/>
          <w:bCs w:val="0"/>
          <w:sz w:val="22"/>
          <w:szCs w:val="22"/>
          <w:lang w:val="en"/>
        </w:rPr>
        <w:t>n</w:t>
      </w:r>
      <w:r w:rsidR="00F91499">
        <w:rPr>
          <w:rStyle w:val="Strong"/>
          <w:rFonts w:asciiTheme="minorHAnsi" w:hAnsiTheme="minorHAnsi"/>
          <w:b w:val="0"/>
          <w:bCs w:val="0"/>
          <w:sz w:val="22"/>
          <w:szCs w:val="22"/>
          <w:lang w:val="en"/>
        </w:rPr>
        <w:t>t’.</w:t>
      </w:r>
      <w:r w:rsidR="00F91499">
        <w:rPr>
          <w:rStyle w:val="EndnoteReference"/>
          <w:rFonts w:asciiTheme="minorHAnsi" w:hAnsiTheme="minorHAnsi"/>
          <w:sz w:val="22"/>
          <w:szCs w:val="22"/>
          <w:lang w:val="en"/>
        </w:rPr>
        <w:endnoteReference w:id="85"/>
      </w:r>
      <w:r w:rsidR="00783051">
        <w:rPr>
          <w:rStyle w:val="Strong"/>
          <w:rFonts w:asciiTheme="minorHAnsi" w:hAnsiTheme="minorHAnsi"/>
          <w:b w:val="0"/>
          <w:bCs w:val="0"/>
          <w:sz w:val="22"/>
          <w:szCs w:val="22"/>
          <w:lang w:val="en"/>
        </w:rPr>
        <w:t xml:space="preserve"> The court went on to </w:t>
      </w:r>
      <w:r w:rsidR="002A376D">
        <w:rPr>
          <w:rStyle w:val="Strong"/>
          <w:rFonts w:asciiTheme="minorHAnsi" w:hAnsiTheme="minorHAnsi"/>
          <w:b w:val="0"/>
          <w:bCs w:val="0"/>
          <w:sz w:val="22"/>
          <w:szCs w:val="22"/>
          <w:lang w:val="en"/>
        </w:rPr>
        <w:t>refer to ‘informed consent’:</w:t>
      </w:r>
    </w:p>
    <w:p w14:paraId="44AB6DC3" w14:textId="59B40F92" w:rsidR="002A376D" w:rsidRDefault="002A376D" w:rsidP="002A376D">
      <w:pPr>
        <w:pStyle w:val="Heading3"/>
        <w:spacing w:line="276" w:lineRule="auto"/>
        <w:ind w:left="720"/>
        <w:jc w:val="both"/>
        <w:rPr>
          <w:rStyle w:val="Strong"/>
          <w:rFonts w:asciiTheme="minorHAnsi" w:hAnsiTheme="minorHAnsi"/>
          <w:b w:val="0"/>
          <w:bCs w:val="0"/>
          <w:sz w:val="22"/>
          <w:szCs w:val="22"/>
          <w:lang w:val="en"/>
        </w:rPr>
      </w:pPr>
      <w:r>
        <w:rPr>
          <w:rStyle w:val="Strong"/>
          <w:rFonts w:asciiTheme="minorHAnsi" w:hAnsiTheme="minorHAnsi"/>
          <w:b w:val="0"/>
          <w:bCs w:val="0"/>
          <w:sz w:val="22"/>
          <w:szCs w:val="22"/>
          <w:lang w:val="en"/>
        </w:rPr>
        <w:t>In discussing the element of risk, a certain amount of discretion must be employed consistent with full disclosure of facts necessary to an informed consent.</w:t>
      </w:r>
      <w:r>
        <w:rPr>
          <w:rStyle w:val="EndnoteReference"/>
          <w:rFonts w:asciiTheme="minorHAnsi" w:hAnsiTheme="minorHAnsi"/>
          <w:sz w:val="22"/>
          <w:szCs w:val="22"/>
          <w:lang w:val="en"/>
        </w:rPr>
        <w:endnoteReference w:id="86"/>
      </w:r>
    </w:p>
    <w:p w14:paraId="14ADF077" w14:textId="42131582" w:rsidR="00E27F40" w:rsidRDefault="00D33AAD" w:rsidP="00E27F40">
      <w:pPr>
        <w:pStyle w:val="Heading3"/>
        <w:spacing w:line="276" w:lineRule="auto"/>
        <w:jc w:val="both"/>
        <w:rPr>
          <w:rStyle w:val="Strong"/>
          <w:rFonts w:asciiTheme="minorHAnsi" w:hAnsiTheme="minorHAnsi"/>
          <w:b w:val="0"/>
          <w:bCs w:val="0"/>
          <w:sz w:val="22"/>
          <w:szCs w:val="22"/>
          <w:lang w:val="en"/>
        </w:rPr>
      </w:pPr>
      <w:r>
        <w:rPr>
          <w:rStyle w:val="Strong"/>
          <w:rFonts w:asciiTheme="minorHAnsi" w:hAnsiTheme="minorHAnsi"/>
          <w:b w:val="0"/>
          <w:bCs w:val="0"/>
          <w:sz w:val="22"/>
          <w:szCs w:val="22"/>
          <w:lang w:val="en"/>
        </w:rPr>
        <w:t xml:space="preserve">In </w:t>
      </w:r>
      <w:r>
        <w:rPr>
          <w:rStyle w:val="Strong"/>
          <w:rFonts w:asciiTheme="minorHAnsi" w:hAnsiTheme="minorHAnsi"/>
          <w:b w:val="0"/>
          <w:bCs w:val="0"/>
          <w:i/>
          <w:iCs/>
          <w:sz w:val="22"/>
          <w:szCs w:val="22"/>
          <w:lang w:val="en"/>
        </w:rPr>
        <w:t>Law and Medical Ethics</w:t>
      </w:r>
      <w:r>
        <w:rPr>
          <w:rStyle w:val="Strong"/>
          <w:rFonts w:asciiTheme="minorHAnsi" w:hAnsiTheme="minorHAnsi"/>
          <w:b w:val="0"/>
          <w:bCs w:val="0"/>
          <w:sz w:val="22"/>
          <w:szCs w:val="22"/>
          <w:lang w:val="en"/>
        </w:rPr>
        <w:t>, GT Laurie, SHE Harmon and G. Porter</w:t>
      </w:r>
      <w:r>
        <w:rPr>
          <w:rStyle w:val="Strong"/>
          <w:rFonts w:asciiTheme="minorHAnsi" w:hAnsiTheme="minorHAnsi"/>
          <w:b w:val="0"/>
          <w:bCs w:val="0"/>
          <w:i/>
          <w:iCs/>
          <w:sz w:val="22"/>
          <w:szCs w:val="22"/>
          <w:lang w:val="en"/>
        </w:rPr>
        <w:t xml:space="preserve"> </w:t>
      </w:r>
      <w:r>
        <w:rPr>
          <w:rStyle w:val="Strong"/>
          <w:rFonts w:asciiTheme="minorHAnsi" w:hAnsiTheme="minorHAnsi"/>
          <w:b w:val="0"/>
          <w:bCs w:val="0"/>
          <w:sz w:val="22"/>
          <w:szCs w:val="22"/>
          <w:lang w:val="en"/>
        </w:rPr>
        <w:t xml:space="preserve">observe that following </w:t>
      </w:r>
      <w:r>
        <w:rPr>
          <w:rStyle w:val="Strong"/>
          <w:rFonts w:asciiTheme="minorHAnsi" w:hAnsiTheme="minorHAnsi"/>
          <w:b w:val="0"/>
          <w:bCs w:val="0"/>
          <w:i/>
          <w:iCs/>
          <w:sz w:val="22"/>
          <w:szCs w:val="22"/>
          <w:lang w:val="en"/>
        </w:rPr>
        <w:t>Montgomery’s case</w:t>
      </w:r>
      <w:r>
        <w:rPr>
          <w:rStyle w:val="Strong"/>
          <w:rFonts w:asciiTheme="minorHAnsi" w:hAnsiTheme="minorHAnsi"/>
          <w:b w:val="0"/>
          <w:bCs w:val="0"/>
          <w:sz w:val="22"/>
          <w:szCs w:val="22"/>
          <w:lang w:val="en"/>
        </w:rPr>
        <w:t xml:space="preserve">, </w:t>
      </w:r>
      <w:r w:rsidR="000E3CA1">
        <w:rPr>
          <w:rStyle w:val="Strong"/>
          <w:rFonts w:asciiTheme="minorHAnsi" w:hAnsiTheme="minorHAnsi"/>
          <w:b w:val="0"/>
          <w:bCs w:val="0"/>
          <w:sz w:val="22"/>
          <w:szCs w:val="22"/>
          <w:lang w:val="en"/>
        </w:rPr>
        <w:t>a person ‘should not be exposed to risk of harm unless he has agreed to that risk and he or she cannot properly agree to – or, equally importantly, make a choice between – risks in the absence of factual information’.</w:t>
      </w:r>
      <w:r w:rsidR="00E27F40">
        <w:rPr>
          <w:rStyle w:val="EndnoteReference"/>
          <w:rFonts w:asciiTheme="minorHAnsi" w:hAnsiTheme="minorHAnsi"/>
          <w:sz w:val="22"/>
          <w:szCs w:val="22"/>
          <w:lang w:val="en"/>
        </w:rPr>
        <w:endnoteReference w:id="87"/>
      </w:r>
      <w:r w:rsidR="00E27F40">
        <w:rPr>
          <w:rStyle w:val="Strong"/>
          <w:rFonts w:asciiTheme="minorHAnsi" w:hAnsiTheme="minorHAnsi"/>
          <w:b w:val="0"/>
          <w:bCs w:val="0"/>
          <w:sz w:val="22"/>
          <w:szCs w:val="22"/>
          <w:lang w:val="en"/>
        </w:rPr>
        <w:t xml:space="preserve"> The issue then becomes one of ‘to what extent must or should particular details be divulged’ and the overarching question of ‘by what general standard should the information be judged?’</w:t>
      </w:r>
      <w:r w:rsidR="00E27F40">
        <w:rPr>
          <w:rStyle w:val="EndnoteReference"/>
          <w:rFonts w:asciiTheme="minorHAnsi" w:hAnsiTheme="minorHAnsi"/>
          <w:sz w:val="22"/>
          <w:szCs w:val="22"/>
          <w:lang w:val="en"/>
        </w:rPr>
        <w:endnoteReference w:id="88"/>
      </w:r>
      <w:r w:rsidR="00E27F40">
        <w:rPr>
          <w:rStyle w:val="Strong"/>
          <w:rFonts w:asciiTheme="minorHAnsi" w:hAnsiTheme="minorHAnsi"/>
          <w:b w:val="0"/>
          <w:bCs w:val="0"/>
          <w:sz w:val="22"/>
          <w:szCs w:val="22"/>
          <w:lang w:val="en"/>
        </w:rPr>
        <w:t xml:space="preserve"> </w:t>
      </w:r>
      <w:bookmarkStart w:id="0" w:name="_Hlk35593643"/>
      <w:r w:rsidR="00E27F40">
        <w:rPr>
          <w:rStyle w:val="Strong"/>
          <w:rFonts w:asciiTheme="minorHAnsi" w:hAnsiTheme="minorHAnsi"/>
          <w:b w:val="0"/>
          <w:bCs w:val="0"/>
          <w:sz w:val="22"/>
          <w:szCs w:val="22"/>
          <w:lang w:val="en"/>
        </w:rPr>
        <w:t xml:space="preserve">In </w:t>
      </w:r>
      <w:r w:rsidR="00E27F40">
        <w:rPr>
          <w:rStyle w:val="Strong"/>
          <w:rFonts w:asciiTheme="minorHAnsi" w:hAnsiTheme="minorHAnsi"/>
          <w:b w:val="0"/>
          <w:bCs w:val="0"/>
          <w:i/>
          <w:iCs/>
          <w:sz w:val="22"/>
          <w:szCs w:val="22"/>
          <w:lang w:val="en"/>
        </w:rPr>
        <w:t xml:space="preserve">Montgomery </w:t>
      </w:r>
      <w:r w:rsidR="00164D20">
        <w:rPr>
          <w:rStyle w:val="Strong"/>
          <w:rFonts w:asciiTheme="minorHAnsi" w:hAnsiTheme="minorHAnsi"/>
          <w:b w:val="0"/>
          <w:bCs w:val="0"/>
          <w:sz w:val="22"/>
          <w:szCs w:val="22"/>
          <w:lang w:val="en"/>
        </w:rPr>
        <w:t xml:space="preserve">it was held that practitioners have a duty to take reasonable care to ensure that patients are aware of ‘material risks’. </w:t>
      </w:r>
      <w:r w:rsidR="00BD7756">
        <w:rPr>
          <w:rStyle w:val="Strong"/>
          <w:rFonts w:asciiTheme="minorHAnsi" w:hAnsiTheme="minorHAnsi"/>
          <w:b w:val="0"/>
          <w:bCs w:val="0"/>
          <w:sz w:val="22"/>
          <w:szCs w:val="22"/>
          <w:lang w:val="en"/>
        </w:rPr>
        <w:t xml:space="preserve">What is ‘adequate information’ about ‘material risks’ is judged in the </w:t>
      </w:r>
      <w:proofErr w:type="gramStart"/>
      <w:r w:rsidR="00BD7756">
        <w:rPr>
          <w:rStyle w:val="Strong"/>
          <w:rFonts w:asciiTheme="minorHAnsi" w:hAnsiTheme="minorHAnsi"/>
          <w:b w:val="0"/>
          <w:bCs w:val="0"/>
          <w:sz w:val="22"/>
          <w:szCs w:val="22"/>
          <w:lang w:val="en"/>
        </w:rPr>
        <w:t>particular case</w:t>
      </w:r>
      <w:proofErr w:type="gramEnd"/>
      <w:r w:rsidR="00BD7756">
        <w:rPr>
          <w:rStyle w:val="Strong"/>
          <w:rFonts w:asciiTheme="minorHAnsi" w:hAnsiTheme="minorHAnsi"/>
          <w:b w:val="0"/>
          <w:bCs w:val="0"/>
          <w:sz w:val="22"/>
          <w:szCs w:val="22"/>
          <w:lang w:val="en"/>
        </w:rPr>
        <w:t xml:space="preserve"> from the perspective of a reasonable person in the patent’s position.</w:t>
      </w:r>
      <w:bookmarkEnd w:id="0"/>
    </w:p>
    <w:p w14:paraId="712D0400" w14:textId="445D0463" w:rsidR="00BD7756" w:rsidRDefault="00BD7756" w:rsidP="00491127">
      <w:pPr>
        <w:pStyle w:val="Heading3"/>
        <w:spacing w:after="0" w:afterAutospacing="0" w:line="276" w:lineRule="auto"/>
        <w:jc w:val="both"/>
        <w:rPr>
          <w:rStyle w:val="Strong"/>
          <w:rFonts w:asciiTheme="minorHAnsi" w:hAnsiTheme="minorHAnsi"/>
          <w:b w:val="0"/>
          <w:bCs w:val="0"/>
          <w:sz w:val="22"/>
          <w:szCs w:val="22"/>
          <w:lang w:val="en"/>
        </w:rPr>
      </w:pPr>
      <w:r>
        <w:rPr>
          <w:rStyle w:val="Strong"/>
          <w:rFonts w:asciiTheme="minorHAnsi" w:hAnsiTheme="minorHAnsi"/>
          <w:b w:val="0"/>
          <w:bCs w:val="0"/>
          <w:sz w:val="22"/>
          <w:szCs w:val="22"/>
          <w:lang w:val="en"/>
        </w:rPr>
        <w:t xml:space="preserve">Returning then to the women undergoing liposuction, whether each gave an informed consent must be judged by the </w:t>
      </w:r>
      <w:r>
        <w:rPr>
          <w:rStyle w:val="Strong"/>
          <w:rFonts w:asciiTheme="minorHAnsi" w:hAnsiTheme="minorHAnsi"/>
          <w:b w:val="0"/>
          <w:bCs w:val="0"/>
          <w:i/>
          <w:iCs/>
          <w:sz w:val="22"/>
          <w:szCs w:val="22"/>
          <w:lang w:val="en"/>
        </w:rPr>
        <w:t xml:space="preserve">Montgomery </w:t>
      </w:r>
      <w:r>
        <w:rPr>
          <w:rStyle w:val="Strong"/>
          <w:rFonts w:asciiTheme="minorHAnsi" w:hAnsiTheme="minorHAnsi"/>
          <w:b w:val="0"/>
          <w:bCs w:val="0"/>
          <w:sz w:val="22"/>
          <w:szCs w:val="22"/>
          <w:lang w:val="en"/>
        </w:rPr>
        <w:t xml:space="preserve">standard. First, </w:t>
      </w:r>
      <w:r w:rsidR="00120FA8">
        <w:rPr>
          <w:rStyle w:val="Strong"/>
          <w:rFonts w:asciiTheme="minorHAnsi" w:hAnsiTheme="minorHAnsi"/>
          <w:b w:val="0"/>
          <w:bCs w:val="0"/>
          <w:sz w:val="22"/>
          <w:szCs w:val="22"/>
          <w:lang w:val="en"/>
        </w:rPr>
        <w:t xml:space="preserve">did the practitioner using laser liposuction discharge his duty to take reasonable scare to ensure that his patient was aware of material risks? Was adequate information about the material risks imparted to the patient, judging this by reference to a reasonable </w:t>
      </w:r>
      <w:r w:rsidR="00120FA8">
        <w:rPr>
          <w:rStyle w:val="Strong"/>
          <w:rFonts w:asciiTheme="minorHAnsi" w:hAnsiTheme="minorHAnsi"/>
          <w:b w:val="0"/>
          <w:bCs w:val="0"/>
          <w:sz w:val="22"/>
          <w:szCs w:val="22"/>
          <w:lang w:val="en"/>
        </w:rPr>
        <w:lastRenderedPageBreak/>
        <w:t xml:space="preserve">person in the patient’s position. The information that could have been imparted was (a) the lack of training and experience of the </w:t>
      </w:r>
      <w:proofErr w:type="gramStart"/>
      <w:r w:rsidR="00120FA8">
        <w:rPr>
          <w:rStyle w:val="Strong"/>
          <w:rFonts w:asciiTheme="minorHAnsi" w:hAnsiTheme="minorHAnsi"/>
          <w:b w:val="0"/>
          <w:bCs w:val="0"/>
          <w:sz w:val="22"/>
          <w:szCs w:val="22"/>
          <w:lang w:val="en"/>
        </w:rPr>
        <w:t>practitioner;  and</w:t>
      </w:r>
      <w:proofErr w:type="gramEnd"/>
      <w:r w:rsidR="00120FA8">
        <w:rPr>
          <w:rStyle w:val="Strong"/>
          <w:rFonts w:asciiTheme="minorHAnsi" w:hAnsiTheme="minorHAnsi"/>
          <w:b w:val="0"/>
          <w:bCs w:val="0"/>
          <w:sz w:val="22"/>
          <w:szCs w:val="22"/>
          <w:lang w:val="en"/>
        </w:rPr>
        <w:t xml:space="preserve"> (b) the possible risk of suffering burns from the laser treatment. If she had been provided with that information, would the patient have consented? </w:t>
      </w:r>
      <w:r w:rsidR="00491127">
        <w:rPr>
          <w:rStyle w:val="Strong"/>
          <w:rFonts w:asciiTheme="minorHAnsi" w:hAnsiTheme="minorHAnsi"/>
          <w:b w:val="0"/>
          <w:bCs w:val="0"/>
          <w:sz w:val="22"/>
          <w:szCs w:val="22"/>
          <w:lang w:val="en"/>
        </w:rPr>
        <w:t xml:space="preserve">A judgement would have </w:t>
      </w:r>
      <w:r w:rsidR="00120FA8">
        <w:rPr>
          <w:rStyle w:val="Strong"/>
          <w:rFonts w:asciiTheme="minorHAnsi" w:hAnsiTheme="minorHAnsi"/>
          <w:b w:val="0"/>
          <w:bCs w:val="0"/>
          <w:sz w:val="22"/>
          <w:szCs w:val="22"/>
          <w:lang w:val="en"/>
        </w:rPr>
        <w:t xml:space="preserve">to be </w:t>
      </w:r>
      <w:r w:rsidR="00491127">
        <w:rPr>
          <w:rStyle w:val="Strong"/>
          <w:rFonts w:asciiTheme="minorHAnsi" w:hAnsiTheme="minorHAnsi"/>
          <w:b w:val="0"/>
          <w:bCs w:val="0"/>
          <w:sz w:val="22"/>
          <w:szCs w:val="22"/>
          <w:lang w:val="en"/>
        </w:rPr>
        <w:t xml:space="preserve">made </w:t>
      </w:r>
      <w:r w:rsidR="00120FA8">
        <w:rPr>
          <w:rStyle w:val="Strong"/>
          <w:rFonts w:asciiTheme="minorHAnsi" w:hAnsiTheme="minorHAnsi"/>
          <w:b w:val="0"/>
          <w:bCs w:val="0"/>
          <w:sz w:val="22"/>
          <w:szCs w:val="22"/>
          <w:lang w:val="en"/>
        </w:rPr>
        <w:t xml:space="preserve">from the </w:t>
      </w:r>
      <w:r w:rsidR="00491127">
        <w:rPr>
          <w:rStyle w:val="Strong"/>
          <w:rFonts w:asciiTheme="minorHAnsi" w:hAnsiTheme="minorHAnsi"/>
          <w:b w:val="0"/>
          <w:bCs w:val="0"/>
          <w:sz w:val="22"/>
          <w:szCs w:val="22"/>
          <w:lang w:val="en"/>
        </w:rPr>
        <w:t xml:space="preserve">material </w:t>
      </w:r>
      <w:r w:rsidR="00120FA8">
        <w:rPr>
          <w:rStyle w:val="Strong"/>
          <w:rFonts w:asciiTheme="minorHAnsi" w:hAnsiTheme="minorHAnsi"/>
          <w:b w:val="0"/>
          <w:bCs w:val="0"/>
          <w:sz w:val="22"/>
          <w:szCs w:val="22"/>
          <w:lang w:val="en"/>
        </w:rPr>
        <w:t xml:space="preserve">in the </w:t>
      </w:r>
      <w:proofErr w:type="gramStart"/>
      <w:r w:rsidR="00120FA8">
        <w:rPr>
          <w:rStyle w:val="Strong"/>
          <w:rFonts w:asciiTheme="minorHAnsi" w:hAnsiTheme="minorHAnsi"/>
          <w:b w:val="0"/>
          <w:bCs w:val="0"/>
          <w:sz w:val="22"/>
          <w:szCs w:val="22"/>
          <w:lang w:val="en"/>
        </w:rPr>
        <w:t>particular case</w:t>
      </w:r>
      <w:proofErr w:type="gramEnd"/>
      <w:r w:rsidR="00120FA8">
        <w:rPr>
          <w:rStyle w:val="Strong"/>
          <w:rFonts w:asciiTheme="minorHAnsi" w:hAnsiTheme="minorHAnsi"/>
          <w:b w:val="0"/>
          <w:bCs w:val="0"/>
          <w:sz w:val="22"/>
          <w:szCs w:val="22"/>
          <w:lang w:val="en"/>
        </w:rPr>
        <w:t xml:space="preserve">, including the woman’s evidence. </w:t>
      </w:r>
      <w:r w:rsidR="00491127">
        <w:rPr>
          <w:rStyle w:val="Strong"/>
          <w:rFonts w:asciiTheme="minorHAnsi" w:hAnsiTheme="minorHAnsi"/>
          <w:b w:val="0"/>
          <w:bCs w:val="0"/>
          <w:sz w:val="22"/>
          <w:szCs w:val="22"/>
          <w:lang w:val="en"/>
        </w:rPr>
        <w:t xml:space="preserve">Would she have withdrawn consent if told of the inadequacies in training and experience of the practitioner? </w:t>
      </w:r>
      <w:r w:rsidR="00120FA8">
        <w:rPr>
          <w:rStyle w:val="Strong"/>
          <w:rFonts w:asciiTheme="minorHAnsi" w:hAnsiTheme="minorHAnsi"/>
          <w:b w:val="0"/>
          <w:bCs w:val="0"/>
          <w:sz w:val="22"/>
          <w:szCs w:val="22"/>
          <w:lang w:val="en"/>
        </w:rPr>
        <w:t>This highlights a difficulty with surgery aimed at making the body beautiful. There is a trend for women to take enormous risks with their bodies</w:t>
      </w:r>
      <w:r w:rsidR="00A02B6A">
        <w:rPr>
          <w:rStyle w:val="Strong"/>
          <w:rFonts w:asciiTheme="minorHAnsi" w:hAnsiTheme="minorHAnsi"/>
          <w:b w:val="0"/>
          <w:bCs w:val="0"/>
          <w:sz w:val="22"/>
          <w:szCs w:val="22"/>
          <w:lang w:val="en"/>
        </w:rPr>
        <w:t>.</w:t>
      </w:r>
      <w:r w:rsidR="00120FA8">
        <w:rPr>
          <w:rStyle w:val="Strong"/>
          <w:rFonts w:asciiTheme="minorHAnsi" w:hAnsiTheme="minorHAnsi"/>
          <w:b w:val="0"/>
          <w:bCs w:val="0"/>
          <w:sz w:val="22"/>
          <w:szCs w:val="22"/>
          <w:lang w:val="en"/>
        </w:rPr>
        <w:t xml:space="preserve"> Sarah Marsh in ‘Botched cosme</w:t>
      </w:r>
      <w:r w:rsidR="0066141A">
        <w:rPr>
          <w:rStyle w:val="Strong"/>
          <w:rFonts w:asciiTheme="minorHAnsi" w:hAnsiTheme="minorHAnsi"/>
          <w:b w:val="0"/>
          <w:bCs w:val="0"/>
          <w:sz w:val="22"/>
          <w:szCs w:val="22"/>
          <w:lang w:val="en"/>
        </w:rPr>
        <w:t>t</w:t>
      </w:r>
      <w:r w:rsidR="00120FA8">
        <w:rPr>
          <w:rStyle w:val="Strong"/>
          <w:rFonts w:asciiTheme="minorHAnsi" w:hAnsiTheme="minorHAnsi"/>
          <w:b w:val="0"/>
          <w:bCs w:val="0"/>
          <w:sz w:val="22"/>
          <w:szCs w:val="22"/>
          <w:lang w:val="en"/>
        </w:rPr>
        <w:t>ic surgery …’  reports that the ‘alarming’ rise in reports of ‘botched cosmetic proc</w:t>
      </w:r>
      <w:r w:rsidR="00A02B6A">
        <w:rPr>
          <w:rStyle w:val="Strong"/>
          <w:rFonts w:asciiTheme="minorHAnsi" w:hAnsiTheme="minorHAnsi"/>
          <w:b w:val="0"/>
          <w:bCs w:val="0"/>
          <w:sz w:val="22"/>
          <w:szCs w:val="22"/>
          <w:lang w:val="en"/>
        </w:rPr>
        <w:t>ed</w:t>
      </w:r>
      <w:r w:rsidR="00120FA8">
        <w:rPr>
          <w:rStyle w:val="Strong"/>
          <w:rFonts w:asciiTheme="minorHAnsi" w:hAnsiTheme="minorHAnsi"/>
          <w:b w:val="0"/>
          <w:bCs w:val="0"/>
          <w:sz w:val="22"/>
          <w:szCs w:val="22"/>
          <w:lang w:val="en"/>
        </w:rPr>
        <w:t xml:space="preserve">ures in the UK has prompted doctors and campaigners to call for better legislation to protect against rogue </w:t>
      </w:r>
      <w:proofErr w:type="gramStart"/>
      <w:r w:rsidR="00120FA8">
        <w:rPr>
          <w:rStyle w:val="Strong"/>
          <w:rFonts w:asciiTheme="minorHAnsi" w:hAnsiTheme="minorHAnsi"/>
          <w:b w:val="0"/>
          <w:bCs w:val="0"/>
          <w:sz w:val="22"/>
          <w:szCs w:val="22"/>
          <w:lang w:val="en"/>
        </w:rPr>
        <w:t>practitioners’</w:t>
      </w:r>
      <w:proofErr w:type="gramEnd"/>
      <w:r w:rsidR="00120FA8">
        <w:rPr>
          <w:rStyle w:val="Strong"/>
          <w:rFonts w:asciiTheme="minorHAnsi" w:hAnsiTheme="minorHAnsi"/>
          <w:b w:val="0"/>
          <w:bCs w:val="0"/>
          <w:sz w:val="22"/>
          <w:szCs w:val="22"/>
          <w:lang w:val="en"/>
        </w:rPr>
        <w:t>.</w:t>
      </w:r>
      <w:r w:rsidR="00F5732F">
        <w:rPr>
          <w:rStyle w:val="EndnoteReference"/>
          <w:rFonts w:asciiTheme="minorHAnsi" w:hAnsiTheme="minorHAnsi"/>
          <w:sz w:val="22"/>
          <w:szCs w:val="22"/>
          <w:lang w:val="en"/>
        </w:rPr>
        <w:endnoteReference w:id="89"/>
      </w:r>
      <w:r w:rsidR="0066141A">
        <w:rPr>
          <w:rStyle w:val="Strong"/>
          <w:rFonts w:asciiTheme="minorHAnsi" w:hAnsiTheme="minorHAnsi"/>
          <w:b w:val="0"/>
          <w:bCs w:val="0"/>
          <w:sz w:val="22"/>
          <w:szCs w:val="22"/>
          <w:lang w:val="en"/>
        </w:rPr>
        <w:t xml:space="preserve">  Marsh reports that in 2017, some 72 percent of all complaints were from patients who had used social media to locate a practitioner. She includes a ‘case study’ where the complainant booked an appointment with a woman who was running the business from her home. The procedure involved lip fillers and the treatment was ‘incredibly painful’ as well as taking a very long time.</w:t>
      </w:r>
      <w:r w:rsidR="00925C50">
        <w:rPr>
          <w:rStyle w:val="EndnoteReference"/>
          <w:rFonts w:asciiTheme="minorHAnsi" w:hAnsiTheme="minorHAnsi"/>
          <w:sz w:val="22"/>
          <w:szCs w:val="22"/>
          <w:lang w:val="en"/>
        </w:rPr>
        <w:endnoteReference w:id="90"/>
      </w:r>
      <w:r w:rsidR="0066141A">
        <w:rPr>
          <w:rStyle w:val="Strong"/>
          <w:rFonts w:asciiTheme="minorHAnsi" w:hAnsiTheme="minorHAnsi"/>
          <w:b w:val="0"/>
          <w:bCs w:val="0"/>
          <w:sz w:val="22"/>
          <w:szCs w:val="22"/>
          <w:lang w:val="en"/>
        </w:rPr>
        <w:t xml:space="preserve"> </w:t>
      </w:r>
      <w:r w:rsidR="009E2A32">
        <w:rPr>
          <w:rStyle w:val="Strong"/>
          <w:rFonts w:asciiTheme="minorHAnsi" w:hAnsiTheme="minorHAnsi"/>
          <w:b w:val="0"/>
          <w:bCs w:val="0"/>
          <w:sz w:val="22"/>
          <w:szCs w:val="22"/>
          <w:lang w:val="en"/>
        </w:rPr>
        <w:t xml:space="preserve"> After some weeks, the filler began leaking from a hole at the side of the woman’s mouth</w:t>
      </w:r>
      <w:r w:rsidR="00A02B6A">
        <w:rPr>
          <w:rStyle w:val="Strong"/>
          <w:rFonts w:asciiTheme="minorHAnsi" w:hAnsiTheme="minorHAnsi"/>
          <w:b w:val="0"/>
          <w:bCs w:val="0"/>
          <w:sz w:val="22"/>
          <w:szCs w:val="22"/>
          <w:lang w:val="en"/>
        </w:rPr>
        <w:t>.</w:t>
      </w:r>
      <w:r w:rsidR="009E2A32">
        <w:rPr>
          <w:rStyle w:val="Strong"/>
          <w:rFonts w:asciiTheme="minorHAnsi" w:hAnsiTheme="minorHAnsi"/>
          <w:b w:val="0"/>
          <w:bCs w:val="0"/>
          <w:sz w:val="22"/>
          <w:szCs w:val="22"/>
          <w:lang w:val="en"/>
        </w:rPr>
        <w:t xml:space="preserve"> </w:t>
      </w:r>
      <w:r w:rsidR="00A02B6A">
        <w:rPr>
          <w:rStyle w:val="Strong"/>
          <w:rFonts w:asciiTheme="minorHAnsi" w:hAnsiTheme="minorHAnsi"/>
          <w:b w:val="0"/>
          <w:bCs w:val="0"/>
          <w:sz w:val="22"/>
          <w:szCs w:val="22"/>
          <w:lang w:val="en"/>
        </w:rPr>
        <w:t>S</w:t>
      </w:r>
      <w:r w:rsidR="009E2A32">
        <w:rPr>
          <w:rStyle w:val="Strong"/>
          <w:rFonts w:asciiTheme="minorHAnsi" w:hAnsiTheme="minorHAnsi"/>
          <w:b w:val="0"/>
          <w:bCs w:val="0"/>
          <w:sz w:val="22"/>
          <w:szCs w:val="22"/>
          <w:lang w:val="en"/>
        </w:rPr>
        <w:t>welling began to subside, but the filler remain</w:t>
      </w:r>
      <w:r w:rsidR="00A02B6A">
        <w:rPr>
          <w:rStyle w:val="Strong"/>
          <w:rFonts w:asciiTheme="minorHAnsi" w:hAnsiTheme="minorHAnsi"/>
          <w:b w:val="0"/>
          <w:bCs w:val="0"/>
          <w:sz w:val="22"/>
          <w:szCs w:val="22"/>
          <w:lang w:val="en"/>
        </w:rPr>
        <w:t>ing</w:t>
      </w:r>
      <w:r w:rsidR="009E2A32">
        <w:rPr>
          <w:rStyle w:val="Strong"/>
          <w:rFonts w:asciiTheme="minorHAnsi" w:hAnsiTheme="minorHAnsi"/>
          <w:b w:val="0"/>
          <w:bCs w:val="0"/>
          <w:sz w:val="22"/>
          <w:szCs w:val="22"/>
          <w:lang w:val="en"/>
        </w:rPr>
        <w:t xml:space="preserve"> was lumpy and her lips were uneven. </w:t>
      </w:r>
      <w:r w:rsidR="00A02B6A">
        <w:rPr>
          <w:rStyle w:val="Strong"/>
          <w:rFonts w:asciiTheme="minorHAnsi" w:hAnsiTheme="minorHAnsi"/>
          <w:b w:val="0"/>
          <w:bCs w:val="0"/>
          <w:sz w:val="22"/>
          <w:szCs w:val="22"/>
          <w:lang w:val="en"/>
        </w:rPr>
        <w:t>S</w:t>
      </w:r>
      <w:r w:rsidR="009E2A32">
        <w:rPr>
          <w:rStyle w:val="Strong"/>
          <w:rFonts w:asciiTheme="minorHAnsi" w:hAnsiTheme="minorHAnsi"/>
          <w:b w:val="0"/>
          <w:bCs w:val="0"/>
          <w:sz w:val="22"/>
          <w:szCs w:val="22"/>
          <w:lang w:val="en"/>
        </w:rPr>
        <w:t xml:space="preserve">eeking professional help, </w:t>
      </w:r>
      <w:r w:rsidR="00A02B6A">
        <w:rPr>
          <w:rStyle w:val="Strong"/>
          <w:rFonts w:asciiTheme="minorHAnsi" w:hAnsiTheme="minorHAnsi"/>
          <w:b w:val="0"/>
          <w:bCs w:val="0"/>
          <w:sz w:val="22"/>
          <w:szCs w:val="22"/>
          <w:lang w:val="en"/>
        </w:rPr>
        <w:t>s</w:t>
      </w:r>
      <w:r w:rsidR="009E2A32">
        <w:rPr>
          <w:rStyle w:val="Strong"/>
          <w:rFonts w:asciiTheme="minorHAnsi" w:hAnsiTheme="minorHAnsi"/>
          <w:b w:val="0"/>
          <w:bCs w:val="0"/>
          <w:sz w:val="22"/>
          <w:szCs w:val="22"/>
          <w:lang w:val="en"/>
        </w:rPr>
        <w:t xml:space="preserve">he </w:t>
      </w:r>
      <w:r w:rsidR="00A02B6A">
        <w:rPr>
          <w:rStyle w:val="Strong"/>
          <w:rFonts w:asciiTheme="minorHAnsi" w:hAnsiTheme="minorHAnsi"/>
          <w:b w:val="0"/>
          <w:bCs w:val="0"/>
          <w:sz w:val="22"/>
          <w:szCs w:val="22"/>
          <w:lang w:val="en"/>
        </w:rPr>
        <w:t>d</w:t>
      </w:r>
      <w:r w:rsidR="009E2A32">
        <w:rPr>
          <w:rStyle w:val="Strong"/>
          <w:rFonts w:asciiTheme="minorHAnsi" w:hAnsiTheme="minorHAnsi"/>
          <w:b w:val="0"/>
          <w:bCs w:val="0"/>
          <w:sz w:val="22"/>
          <w:szCs w:val="22"/>
          <w:lang w:val="en"/>
        </w:rPr>
        <w:t xml:space="preserve">iscovered that the filler </w:t>
      </w:r>
      <w:r w:rsidR="00A02B6A">
        <w:rPr>
          <w:rStyle w:val="Strong"/>
          <w:rFonts w:asciiTheme="minorHAnsi" w:hAnsiTheme="minorHAnsi"/>
          <w:b w:val="0"/>
          <w:bCs w:val="0"/>
          <w:sz w:val="22"/>
          <w:szCs w:val="22"/>
          <w:lang w:val="en"/>
        </w:rPr>
        <w:t>was</w:t>
      </w:r>
      <w:r w:rsidR="009E2A32">
        <w:rPr>
          <w:rStyle w:val="Strong"/>
          <w:rFonts w:asciiTheme="minorHAnsi" w:hAnsiTheme="minorHAnsi"/>
          <w:b w:val="0"/>
          <w:bCs w:val="0"/>
          <w:sz w:val="22"/>
          <w:szCs w:val="22"/>
          <w:lang w:val="en"/>
        </w:rPr>
        <w:t xml:space="preserve"> inserted wrongly</w:t>
      </w:r>
      <w:r w:rsidR="00A02B6A">
        <w:rPr>
          <w:rStyle w:val="Strong"/>
          <w:rFonts w:asciiTheme="minorHAnsi" w:hAnsiTheme="minorHAnsi"/>
          <w:b w:val="0"/>
          <w:bCs w:val="0"/>
          <w:sz w:val="22"/>
          <w:szCs w:val="22"/>
          <w:lang w:val="en"/>
        </w:rPr>
        <w:t xml:space="preserve">, and </w:t>
      </w:r>
      <w:r w:rsidR="009E2A32">
        <w:rPr>
          <w:rStyle w:val="Strong"/>
          <w:rFonts w:asciiTheme="minorHAnsi" w:hAnsiTheme="minorHAnsi"/>
          <w:b w:val="0"/>
          <w:bCs w:val="0"/>
          <w:sz w:val="22"/>
          <w:szCs w:val="22"/>
          <w:lang w:val="en"/>
        </w:rPr>
        <w:t>not positioned as it should have been. This story is not isolated. Save Face, a</w:t>
      </w:r>
      <w:r w:rsidR="00A02B6A">
        <w:rPr>
          <w:rStyle w:val="Strong"/>
          <w:rFonts w:asciiTheme="minorHAnsi" w:hAnsiTheme="minorHAnsi"/>
          <w:b w:val="0"/>
          <w:bCs w:val="0"/>
          <w:sz w:val="22"/>
          <w:szCs w:val="22"/>
          <w:lang w:val="en"/>
        </w:rPr>
        <w:t xml:space="preserve">n accredited </w:t>
      </w:r>
      <w:proofErr w:type="gramStart"/>
      <w:r w:rsidR="00A02B6A">
        <w:rPr>
          <w:rStyle w:val="Strong"/>
          <w:rFonts w:asciiTheme="minorHAnsi" w:hAnsiTheme="minorHAnsi"/>
          <w:b w:val="0"/>
          <w:bCs w:val="0"/>
          <w:sz w:val="22"/>
          <w:szCs w:val="22"/>
          <w:lang w:val="en"/>
        </w:rPr>
        <w:t>practitioners</w:t>
      </w:r>
      <w:proofErr w:type="gramEnd"/>
      <w:r w:rsidR="009E2A32">
        <w:rPr>
          <w:rStyle w:val="Strong"/>
          <w:rFonts w:asciiTheme="minorHAnsi" w:hAnsiTheme="minorHAnsi"/>
          <w:b w:val="0"/>
          <w:bCs w:val="0"/>
          <w:sz w:val="22"/>
          <w:szCs w:val="22"/>
          <w:lang w:val="en"/>
        </w:rPr>
        <w:t xml:space="preserve"> register </w:t>
      </w:r>
      <w:r w:rsidR="00A02B6A">
        <w:rPr>
          <w:rStyle w:val="Strong"/>
          <w:rFonts w:asciiTheme="minorHAnsi" w:hAnsiTheme="minorHAnsi"/>
          <w:b w:val="0"/>
          <w:bCs w:val="0"/>
          <w:sz w:val="22"/>
          <w:szCs w:val="22"/>
          <w:lang w:val="en"/>
        </w:rPr>
        <w:t>having</w:t>
      </w:r>
      <w:r w:rsidR="009E2A32">
        <w:rPr>
          <w:rStyle w:val="Strong"/>
          <w:rFonts w:asciiTheme="minorHAnsi" w:hAnsiTheme="minorHAnsi"/>
          <w:b w:val="0"/>
          <w:bCs w:val="0"/>
          <w:sz w:val="22"/>
          <w:szCs w:val="22"/>
          <w:lang w:val="en"/>
        </w:rPr>
        <w:t xml:space="preserve"> government approval</w:t>
      </w:r>
      <w:r w:rsidR="00A02B6A">
        <w:rPr>
          <w:rStyle w:val="Strong"/>
          <w:rFonts w:asciiTheme="minorHAnsi" w:hAnsiTheme="minorHAnsi"/>
          <w:b w:val="0"/>
          <w:bCs w:val="0"/>
          <w:sz w:val="22"/>
          <w:szCs w:val="22"/>
          <w:lang w:val="en"/>
        </w:rPr>
        <w:t xml:space="preserve"> and cited by</w:t>
      </w:r>
      <w:r w:rsidR="00C407FB">
        <w:rPr>
          <w:rStyle w:val="Strong"/>
          <w:rFonts w:asciiTheme="minorHAnsi" w:hAnsiTheme="minorHAnsi"/>
          <w:b w:val="0"/>
          <w:bCs w:val="0"/>
          <w:sz w:val="22"/>
          <w:szCs w:val="22"/>
          <w:lang w:val="en"/>
        </w:rPr>
        <w:t xml:space="preserve"> Marsh, attributes the rise in demand for body enhancing (or harming) procedures to reality stars and celebrities who trumpet their body modifications on social media, television, and any other available publicity forum. This self-promotion in turn promotes desire in the audience for the </w:t>
      </w:r>
      <w:proofErr w:type="spellStart"/>
      <w:r w:rsidR="00C407FB">
        <w:rPr>
          <w:rStyle w:val="Strong"/>
          <w:rFonts w:asciiTheme="minorHAnsi" w:hAnsiTheme="minorHAnsi"/>
          <w:b w:val="0"/>
          <w:bCs w:val="0"/>
          <w:sz w:val="22"/>
          <w:szCs w:val="22"/>
          <w:lang w:val="en"/>
        </w:rPr>
        <w:t>publicised</w:t>
      </w:r>
      <w:proofErr w:type="spellEnd"/>
      <w:r w:rsidR="00C407FB">
        <w:rPr>
          <w:rStyle w:val="Strong"/>
          <w:rFonts w:asciiTheme="minorHAnsi" w:hAnsiTheme="minorHAnsi"/>
          <w:b w:val="0"/>
          <w:bCs w:val="0"/>
          <w:sz w:val="22"/>
          <w:szCs w:val="22"/>
          <w:lang w:val="en"/>
        </w:rPr>
        <w:t xml:space="preserve"> changes, although it is most likely that </w:t>
      </w:r>
      <w:r w:rsidR="009636E7">
        <w:rPr>
          <w:rStyle w:val="Strong"/>
          <w:rFonts w:asciiTheme="minorHAnsi" w:hAnsiTheme="minorHAnsi"/>
          <w:b w:val="0"/>
          <w:bCs w:val="0"/>
          <w:sz w:val="22"/>
          <w:szCs w:val="22"/>
          <w:lang w:val="en"/>
        </w:rPr>
        <w:t xml:space="preserve">photoshopping and other media manipulation is projecting a double falsehood: first, the false corporal body manufactured by fillers, </w:t>
      </w:r>
      <w:r w:rsidR="0076706C">
        <w:rPr>
          <w:rStyle w:val="Strong"/>
          <w:rFonts w:asciiTheme="minorHAnsi" w:hAnsiTheme="minorHAnsi"/>
          <w:b w:val="0"/>
          <w:bCs w:val="0"/>
          <w:sz w:val="22"/>
          <w:szCs w:val="22"/>
          <w:lang w:val="en"/>
        </w:rPr>
        <w:t>Botox</w:t>
      </w:r>
      <w:r w:rsidR="009636E7">
        <w:rPr>
          <w:rStyle w:val="Strong"/>
          <w:rFonts w:asciiTheme="minorHAnsi" w:hAnsiTheme="minorHAnsi"/>
          <w:b w:val="0"/>
          <w:bCs w:val="0"/>
          <w:sz w:val="22"/>
          <w:szCs w:val="22"/>
          <w:lang w:val="en"/>
        </w:rPr>
        <w:t xml:space="preserve">, </w:t>
      </w:r>
      <w:r w:rsidR="00DA4DBE">
        <w:rPr>
          <w:rStyle w:val="Strong"/>
          <w:rFonts w:asciiTheme="minorHAnsi" w:hAnsiTheme="minorHAnsi"/>
          <w:b w:val="0"/>
          <w:bCs w:val="0"/>
          <w:sz w:val="22"/>
          <w:szCs w:val="22"/>
          <w:lang w:val="en"/>
        </w:rPr>
        <w:t xml:space="preserve">microblading, </w:t>
      </w:r>
      <w:r w:rsidR="009636E7">
        <w:rPr>
          <w:rStyle w:val="Strong"/>
          <w:rFonts w:asciiTheme="minorHAnsi" w:hAnsiTheme="minorHAnsi"/>
          <w:b w:val="0"/>
          <w:bCs w:val="0"/>
          <w:sz w:val="22"/>
          <w:szCs w:val="22"/>
          <w:lang w:val="en"/>
        </w:rPr>
        <w:t xml:space="preserve">liposuction, </w:t>
      </w:r>
      <w:r w:rsidR="00A05F9C">
        <w:rPr>
          <w:rStyle w:val="Strong"/>
          <w:rFonts w:asciiTheme="minorHAnsi" w:hAnsiTheme="minorHAnsi"/>
          <w:b w:val="0"/>
          <w:bCs w:val="0"/>
          <w:sz w:val="22"/>
          <w:szCs w:val="22"/>
          <w:lang w:val="en"/>
        </w:rPr>
        <w:t xml:space="preserve">waxing, laser treatment, facials, </w:t>
      </w:r>
      <w:r w:rsidR="00DA4DBE">
        <w:rPr>
          <w:rStyle w:val="Strong"/>
          <w:rFonts w:asciiTheme="minorHAnsi" w:hAnsiTheme="minorHAnsi"/>
          <w:b w:val="0"/>
          <w:bCs w:val="0"/>
          <w:sz w:val="22"/>
          <w:szCs w:val="22"/>
          <w:lang w:val="en"/>
        </w:rPr>
        <w:t xml:space="preserve">eyelash extensions, </w:t>
      </w:r>
      <w:r w:rsidR="00A05F9C">
        <w:rPr>
          <w:rStyle w:val="Strong"/>
          <w:rFonts w:asciiTheme="minorHAnsi" w:hAnsiTheme="minorHAnsi"/>
          <w:b w:val="0"/>
          <w:bCs w:val="0"/>
          <w:sz w:val="22"/>
          <w:szCs w:val="22"/>
          <w:lang w:val="en"/>
        </w:rPr>
        <w:t xml:space="preserve">full body baths;  and secondly, the false ‘imagined body’, the one shaped and reshaped by </w:t>
      </w:r>
      <w:r w:rsidR="00457F02">
        <w:rPr>
          <w:rStyle w:val="Strong"/>
          <w:rFonts w:asciiTheme="minorHAnsi" w:hAnsiTheme="minorHAnsi"/>
          <w:b w:val="0"/>
          <w:bCs w:val="0"/>
          <w:sz w:val="22"/>
          <w:szCs w:val="22"/>
          <w:lang w:val="en"/>
        </w:rPr>
        <w:t>digital editing and promoted as if it is the real thing.</w:t>
      </w:r>
    </w:p>
    <w:p w14:paraId="2576A667" w14:textId="53DA9083" w:rsidR="00704D22" w:rsidRDefault="00704D22" w:rsidP="00491127">
      <w:pPr>
        <w:pStyle w:val="Heading3"/>
        <w:spacing w:after="0" w:afterAutospacing="0" w:line="276" w:lineRule="auto"/>
        <w:jc w:val="both"/>
        <w:rPr>
          <w:rStyle w:val="Strong"/>
          <w:rFonts w:asciiTheme="minorHAnsi" w:hAnsiTheme="minorHAnsi"/>
          <w:b w:val="0"/>
          <w:bCs w:val="0"/>
          <w:sz w:val="22"/>
          <w:szCs w:val="22"/>
          <w:lang w:val="en"/>
        </w:rPr>
      </w:pPr>
    </w:p>
    <w:p w14:paraId="4691CA67" w14:textId="73622DEF" w:rsidR="00E24ADF" w:rsidRDefault="00704D22" w:rsidP="001D44C2">
      <w:pPr>
        <w:pStyle w:val="Heading3"/>
        <w:spacing w:after="0" w:afterAutospacing="0" w:line="276" w:lineRule="auto"/>
        <w:jc w:val="both"/>
        <w:rPr>
          <w:rStyle w:val="Strong"/>
          <w:rFonts w:asciiTheme="minorHAnsi" w:hAnsiTheme="minorHAnsi"/>
          <w:b w:val="0"/>
          <w:bCs w:val="0"/>
          <w:sz w:val="22"/>
          <w:szCs w:val="22"/>
          <w:lang w:val="en"/>
        </w:rPr>
      </w:pPr>
      <w:r>
        <w:rPr>
          <w:rStyle w:val="Strong"/>
          <w:rFonts w:asciiTheme="minorHAnsi" w:hAnsiTheme="minorHAnsi"/>
          <w:b w:val="0"/>
          <w:bCs w:val="0"/>
          <w:sz w:val="22"/>
          <w:szCs w:val="22"/>
          <w:lang w:val="en"/>
        </w:rPr>
        <w:t xml:space="preserve">As for the risk of laser burns in the one case and the </w:t>
      </w:r>
      <w:r w:rsidR="00336955">
        <w:rPr>
          <w:rStyle w:val="Strong"/>
          <w:rFonts w:asciiTheme="minorHAnsi" w:hAnsiTheme="minorHAnsi"/>
          <w:b w:val="0"/>
          <w:bCs w:val="0"/>
          <w:sz w:val="22"/>
          <w:szCs w:val="22"/>
          <w:lang w:val="en"/>
        </w:rPr>
        <w:t>pulmonary fat embolism in the other, is there any certainty that being informed of these risks would have made the wom</w:t>
      </w:r>
      <w:r w:rsidR="00A02B6A">
        <w:rPr>
          <w:rStyle w:val="Strong"/>
          <w:rFonts w:asciiTheme="minorHAnsi" w:hAnsiTheme="minorHAnsi"/>
          <w:b w:val="0"/>
          <w:bCs w:val="0"/>
          <w:sz w:val="22"/>
          <w:szCs w:val="22"/>
          <w:lang w:val="en"/>
        </w:rPr>
        <w:t>an draw bac</w:t>
      </w:r>
      <w:r w:rsidR="00336955">
        <w:rPr>
          <w:rStyle w:val="Strong"/>
          <w:rFonts w:asciiTheme="minorHAnsi" w:hAnsiTheme="minorHAnsi"/>
          <w:b w:val="0"/>
          <w:bCs w:val="0"/>
          <w:sz w:val="22"/>
          <w:szCs w:val="22"/>
          <w:lang w:val="en"/>
        </w:rPr>
        <w:t xml:space="preserve">k? Perhaps the risk of death might give pause, yet even there </w:t>
      </w:r>
      <w:r w:rsidR="00995A0F">
        <w:rPr>
          <w:rStyle w:val="Strong"/>
          <w:rFonts w:asciiTheme="minorHAnsi" w:hAnsiTheme="minorHAnsi"/>
          <w:b w:val="0"/>
          <w:bCs w:val="0"/>
          <w:sz w:val="22"/>
          <w:szCs w:val="22"/>
          <w:lang w:val="en"/>
        </w:rPr>
        <w:t>the hankering after what Naomi Wolf termed ‘the beauty myth’ might overrule natural caution.</w:t>
      </w:r>
      <w:r w:rsidR="00995A0F">
        <w:rPr>
          <w:rStyle w:val="EndnoteReference"/>
          <w:rFonts w:asciiTheme="minorHAnsi" w:hAnsiTheme="minorHAnsi"/>
          <w:sz w:val="22"/>
          <w:szCs w:val="22"/>
          <w:lang w:val="en"/>
        </w:rPr>
        <w:endnoteReference w:id="91"/>
      </w:r>
      <w:r w:rsidR="00FA03E1">
        <w:rPr>
          <w:rStyle w:val="Strong"/>
          <w:rFonts w:asciiTheme="minorHAnsi" w:hAnsiTheme="minorHAnsi"/>
          <w:b w:val="0"/>
          <w:bCs w:val="0"/>
          <w:sz w:val="22"/>
          <w:szCs w:val="22"/>
          <w:lang w:val="en"/>
        </w:rPr>
        <w:t xml:space="preserve"> </w:t>
      </w:r>
      <w:r w:rsidR="00695363">
        <w:rPr>
          <w:rStyle w:val="Strong"/>
          <w:rFonts w:asciiTheme="minorHAnsi" w:hAnsiTheme="minorHAnsi"/>
          <w:b w:val="0"/>
          <w:bCs w:val="0"/>
          <w:sz w:val="22"/>
          <w:szCs w:val="22"/>
          <w:lang w:val="en"/>
        </w:rPr>
        <w:t xml:space="preserve"> Indeed, the </w:t>
      </w:r>
      <w:r w:rsidR="00895459">
        <w:rPr>
          <w:rStyle w:val="Strong"/>
          <w:rFonts w:asciiTheme="minorHAnsi" w:hAnsiTheme="minorHAnsi"/>
          <w:b w:val="0"/>
          <w:bCs w:val="0"/>
          <w:i/>
          <w:iCs/>
          <w:sz w:val="22"/>
          <w:szCs w:val="22"/>
          <w:lang w:val="en"/>
        </w:rPr>
        <w:t>Final Report – Review of Regulat</w:t>
      </w:r>
      <w:r w:rsidR="00E24ADF">
        <w:rPr>
          <w:rStyle w:val="Strong"/>
          <w:rFonts w:asciiTheme="minorHAnsi" w:hAnsiTheme="minorHAnsi"/>
          <w:b w:val="0"/>
          <w:bCs w:val="0"/>
          <w:i/>
          <w:iCs/>
          <w:sz w:val="22"/>
          <w:szCs w:val="22"/>
          <w:lang w:val="en"/>
        </w:rPr>
        <w:t>i</w:t>
      </w:r>
      <w:r w:rsidR="00895459">
        <w:rPr>
          <w:rStyle w:val="Strong"/>
          <w:rFonts w:asciiTheme="minorHAnsi" w:hAnsiTheme="minorHAnsi"/>
          <w:b w:val="0"/>
          <w:bCs w:val="0"/>
          <w:i/>
          <w:iCs/>
          <w:sz w:val="22"/>
          <w:szCs w:val="22"/>
          <w:lang w:val="en"/>
        </w:rPr>
        <w:t>on of Cosmetic Interventions</w:t>
      </w:r>
      <w:r w:rsidR="00895459">
        <w:rPr>
          <w:rStyle w:val="Strong"/>
          <w:rFonts w:asciiTheme="minorHAnsi" w:hAnsiTheme="minorHAnsi"/>
          <w:b w:val="0"/>
          <w:bCs w:val="0"/>
          <w:sz w:val="22"/>
          <w:szCs w:val="22"/>
          <w:lang w:val="en"/>
        </w:rPr>
        <w:t xml:space="preserve">, published in 2013, </w:t>
      </w:r>
      <w:r w:rsidR="009B208C">
        <w:rPr>
          <w:rStyle w:val="Strong"/>
          <w:rFonts w:asciiTheme="minorHAnsi" w:hAnsiTheme="minorHAnsi"/>
          <w:b w:val="0"/>
          <w:bCs w:val="0"/>
          <w:sz w:val="22"/>
          <w:szCs w:val="22"/>
          <w:lang w:val="en"/>
        </w:rPr>
        <w:t>pointed out that those</w:t>
      </w:r>
      <w:r w:rsidR="00895459">
        <w:rPr>
          <w:rStyle w:val="Strong"/>
          <w:rFonts w:asciiTheme="minorHAnsi" w:hAnsiTheme="minorHAnsi"/>
          <w:b w:val="0"/>
          <w:bCs w:val="0"/>
          <w:sz w:val="22"/>
          <w:szCs w:val="22"/>
          <w:lang w:val="en"/>
        </w:rPr>
        <w:t xml:space="preserve"> considering</w:t>
      </w:r>
      <w:r w:rsidR="009B208C">
        <w:rPr>
          <w:rStyle w:val="Strong"/>
          <w:rFonts w:asciiTheme="minorHAnsi" w:hAnsiTheme="minorHAnsi"/>
          <w:b w:val="0"/>
          <w:bCs w:val="0"/>
          <w:sz w:val="22"/>
          <w:szCs w:val="22"/>
          <w:lang w:val="en"/>
        </w:rPr>
        <w:t xml:space="preserve"> cosmetic surgery ‘have a natural tendency to focus on outcome’.</w:t>
      </w:r>
      <w:r w:rsidR="009B208C">
        <w:rPr>
          <w:rStyle w:val="EndnoteReference"/>
          <w:rFonts w:asciiTheme="minorHAnsi" w:hAnsiTheme="minorHAnsi"/>
          <w:sz w:val="22"/>
          <w:szCs w:val="22"/>
          <w:lang w:val="en"/>
        </w:rPr>
        <w:endnoteReference w:id="92"/>
      </w:r>
      <w:r w:rsidR="009B208C">
        <w:rPr>
          <w:rStyle w:val="Strong"/>
          <w:rFonts w:asciiTheme="minorHAnsi" w:hAnsiTheme="minorHAnsi"/>
          <w:b w:val="0"/>
          <w:bCs w:val="0"/>
          <w:sz w:val="22"/>
          <w:szCs w:val="22"/>
          <w:lang w:val="en"/>
        </w:rPr>
        <w:t xml:space="preserve"> </w:t>
      </w:r>
      <w:r w:rsidR="00E24ADF">
        <w:rPr>
          <w:rStyle w:val="Strong"/>
          <w:rFonts w:asciiTheme="minorHAnsi" w:hAnsiTheme="minorHAnsi"/>
          <w:b w:val="0"/>
          <w:bCs w:val="0"/>
          <w:sz w:val="22"/>
          <w:szCs w:val="22"/>
          <w:lang w:val="en"/>
        </w:rPr>
        <w:t xml:space="preserve"> Doing so means that they can pay insufficient attention to risks and limitations, and may need guidance to reorientate their focus</w:t>
      </w:r>
      <w:r w:rsidR="009B208C">
        <w:rPr>
          <w:rStyle w:val="Strong"/>
          <w:rFonts w:asciiTheme="minorHAnsi" w:hAnsiTheme="minorHAnsi"/>
          <w:b w:val="0"/>
          <w:bCs w:val="0"/>
          <w:sz w:val="22"/>
          <w:szCs w:val="22"/>
          <w:lang w:val="en"/>
        </w:rPr>
        <w:t xml:space="preserve">. </w:t>
      </w:r>
      <w:r w:rsidR="00895459">
        <w:rPr>
          <w:rStyle w:val="Strong"/>
          <w:rFonts w:asciiTheme="minorHAnsi" w:hAnsiTheme="minorHAnsi"/>
          <w:b w:val="0"/>
          <w:bCs w:val="0"/>
          <w:sz w:val="22"/>
          <w:szCs w:val="22"/>
          <w:lang w:val="en"/>
        </w:rPr>
        <w:t>A distinction could be drawn, th</w:t>
      </w:r>
      <w:r w:rsidR="009B208C">
        <w:rPr>
          <w:rStyle w:val="Strong"/>
          <w:rFonts w:asciiTheme="minorHAnsi" w:hAnsiTheme="minorHAnsi"/>
          <w:b w:val="0"/>
          <w:bCs w:val="0"/>
          <w:sz w:val="22"/>
          <w:szCs w:val="22"/>
          <w:lang w:val="en"/>
        </w:rPr>
        <w:t xml:space="preserve">e </w:t>
      </w:r>
      <w:r w:rsidR="009B208C">
        <w:rPr>
          <w:rStyle w:val="Strong"/>
          <w:rFonts w:asciiTheme="minorHAnsi" w:hAnsiTheme="minorHAnsi"/>
          <w:b w:val="0"/>
          <w:bCs w:val="0"/>
          <w:i/>
          <w:iCs/>
          <w:sz w:val="22"/>
          <w:szCs w:val="22"/>
          <w:lang w:val="en"/>
        </w:rPr>
        <w:t xml:space="preserve">Report </w:t>
      </w:r>
      <w:r w:rsidR="00895459">
        <w:rPr>
          <w:rStyle w:val="Strong"/>
          <w:rFonts w:asciiTheme="minorHAnsi" w:hAnsiTheme="minorHAnsi"/>
          <w:b w:val="0"/>
          <w:bCs w:val="0"/>
          <w:sz w:val="22"/>
          <w:szCs w:val="22"/>
          <w:lang w:val="en"/>
        </w:rPr>
        <w:t xml:space="preserve">said, </w:t>
      </w:r>
      <w:r w:rsidR="009B208C">
        <w:rPr>
          <w:rStyle w:val="Strong"/>
          <w:rFonts w:asciiTheme="minorHAnsi" w:hAnsiTheme="minorHAnsi"/>
          <w:b w:val="0"/>
          <w:bCs w:val="0"/>
          <w:sz w:val="22"/>
          <w:szCs w:val="22"/>
          <w:lang w:val="en"/>
        </w:rPr>
        <w:t>between cosmetic procedures and surgery generally</w:t>
      </w:r>
      <w:r w:rsidR="00E24ADF">
        <w:rPr>
          <w:rStyle w:val="Strong"/>
          <w:rFonts w:asciiTheme="minorHAnsi" w:hAnsiTheme="minorHAnsi"/>
          <w:b w:val="0"/>
          <w:bCs w:val="0"/>
          <w:sz w:val="22"/>
          <w:szCs w:val="22"/>
          <w:lang w:val="en"/>
        </w:rPr>
        <w:t>. In the latter,</w:t>
      </w:r>
      <w:r w:rsidR="009B208C">
        <w:rPr>
          <w:rStyle w:val="Strong"/>
          <w:rFonts w:asciiTheme="minorHAnsi" w:hAnsiTheme="minorHAnsi"/>
          <w:b w:val="0"/>
          <w:bCs w:val="0"/>
          <w:sz w:val="22"/>
          <w:szCs w:val="22"/>
          <w:lang w:val="en"/>
        </w:rPr>
        <w:t xml:space="preserve"> ‘</w:t>
      </w:r>
      <w:r w:rsidR="00E24ADF">
        <w:rPr>
          <w:rStyle w:val="Strong"/>
          <w:rFonts w:asciiTheme="minorHAnsi" w:hAnsiTheme="minorHAnsi"/>
          <w:b w:val="0"/>
          <w:bCs w:val="0"/>
          <w:sz w:val="22"/>
          <w:szCs w:val="22"/>
          <w:lang w:val="en"/>
        </w:rPr>
        <w:t>p</w:t>
      </w:r>
      <w:r w:rsidR="009B208C">
        <w:rPr>
          <w:rStyle w:val="Strong"/>
          <w:rFonts w:asciiTheme="minorHAnsi" w:hAnsiTheme="minorHAnsi"/>
          <w:b w:val="0"/>
          <w:bCs w:val="0"/>
          <w:sz w:val="22"/>
          <w:szCs w:val="22"/>
          <w:lang w:val="en"/>
        </w:rPr>
        <w:t xml:space="preserve">atients may have no knowledge of the procedure but are acutely aware of, and alert to, the </w:t>
      </w:r>
      <w:proofErr w:type="gramStart"/>
      <w:r w:rsidR="009B208C">
        <w:rPr>
          <w:rStyle w:val="Strong"/>
          <w:rFonts w:asciiTheme="minorHAnsi" w:hAnsiTheme="minorHAnsi"/>
          <w:b w:val="0"/>
          <w:bCs w:val="0"/>
          <w:sz w:val="22"/>
          <w:szCs w:val="22"/>
          <w:lang w:val="en"/>
        </w:rPr>
        <w:t>risks’</w:t>
      </w:r>
      <w:proofErr w:type="gramEnd"/>
      <w:r w:rsidR="009B208C">
        <w:rPr>
          <w:rStyle w:val="Strong"/>
          <w:rFonts w:asciiTheme="minorHAnsi" w:hAnsiTheme="minorHAnsi"/>
          <w:b w:val="0"/>
          <w:bCs w:val="0"/>
          <w:sz w:val="22"/>
          <w:szCs w:val="22"/>
          <w:lang w:val="en"/>
        </w:rPr>
        <w:t xml:space="preserve">. </w:t>
      </w:r>
      <w:r w:rsidR="00E24ADF">
        <w:rPr>
          <w:rStyle w:val="Strong"/>
          <w:rFonts w:asciiTheme="minorHAnsi" w:hAnsiTheme="minorHAnsi"/>
          <w:b w:val="0"/>
          <w:bCs w:val="0"/>
          <w:sz w:val="22"/>
          <w:szCs w:val="22"/>
          <w:lang w:val="en"/>
        </w:rPr>
        <w:t xml:space="preserve">With </w:t>
      </w:r>
      <w:r w:rsidR="009B208C">
        <w:rPr>
          <w:rStyle w:val="Strong"/>
          <w:rFonts w:asciiTheme="minorHAnsi" w:hAnsiTheme="minorHAnsi"/>
          <w:b w:val="0"/>
          <w:bCs w:val="0"/>
          <w:sz w:val="22"/>
          <w:szCs w:val="22"/>
          <w:lang w:val="en"/>
        </w:rPr>
        <w:t>aesthetic procedures</w:t>
      </w:r>
      <w:r w:rsidR="00895459">
        <w:rPr>
          <w:rStyle w:val="Strong"/>
          <w:rFonts w:asciiTheme="minorHAnsi" w:hAnsiTheme="minorHAnsi"/>
          <w:b w:val="0"/>
          <w:bCs w:val="0"/>
          <w:sz w:val="22"/>
          <w:szCs w:val="22"/>
          <w:lang w:val="en"/>
        </w:rPr>
        <w:t xml:space="preserve">, </w:t>
      </w:r>
      <w:r w:rsidR="009B208C">
        <w:rPr>
          <w:rStyle w:val="Strong"/>
          <w:rFonts w:asciiTheme="minorHAnsi" w:hAnsiTheme="minorHAnsi"/>
          <w:b w:val="0"/>
          <w:bCs w:val="0"/>
          <w:sz w:val="22"/>
          <w:szCs w:val="22"/>
          <w:lang w:val="en"/>
        </w:rPr>
        <w:t>people activ</w:t>
      </w:r>
      <w:r w:rsidR="00A02B6A">
        <w:rPr>
          <w:rStyle w:val="Strong"/>
          <w:rFonts w:asciiTheme="minorHAnsi" w:hAnsiTheme="minorHAnsi"/>
          <w:b w:val="0"/>
          <w:bCs w:val="0"/>
          <w:sz w:val="22"/>
          <w:szCs w:val="22"/>
          <w:lang w:val="en"/>
        </w:rPr>
        <w:t>el</w:t>
      </w:r>
      <w:r w:rsidR="009B208C">
        <w:rPr>
          <w:rStyle w:val="Strong"/>
          <w:rFonts w:asciiTheme="minorHAnsi" w:hAnsiTheme="minorHAnsi"/>
          <w:b w:val="0"/>
          <w:bCs w:val="0"/>
          <w:sz w:val="22"/>
          <w:szCs w:val="22"/>
          <w:lang w:val="en"/>
        </w:rPr>
        <w:t xml:space="preserve">y seeking them out ‘may have a tendency to underplay the risk’. This contrasts </w:t>
      </w:r>
      <w:r w:rsidR="00895459">
        <w:rPr>
          <w:rStyle w:val="Strong"/>
          <w:rFonts w:asciiTheme="minorHAnsi" w:hAnsiTheme="minorHAnsi"/>
          <w:b w:val="0"/>
          <w:bCs w:val="0"/>
          <w:sz w:val="22"/>
          <w:szCs w:val="22"/>
          <w:lang w:val="en"/>
        </w:rPr>
        <w:t xml:space="preserve">sharply </w:t>
      </w:r>
      <w:r w:rsidR="009B208C">
        <w:rPr>
          <w:rStyle w:val="Strong"/>
          <w:rFonts w:asciiTheme="minorHAnsi" w:hAnsiTheme="minorHAnsi"/>
          <w:b w:val="0"/>
          <w:bCs w:val="0"/>
          <w:sz w:val="22"/>
          <w:szCs w:val="22"/>
          <w:lang w:val="en"/>
        </w:rPr>
        <w:t>with ‘the a</w:t>
      </w:r>
      <w:r w:rsidR="00BB6464">
        <w:rPr>
          <w:rStyle w:val="Strong"/>
          <w:rFonts w:asciiTheme="minorHAnsi" w:hAnsiTheme="minorHAnsi"/>
          <w:b w:val="0"/>
          <w:bCs w:val="0"/>
          <w:sz w:val="22"/>
          <w:szCs w:val="22"/>
          <w:lang w:val="en"/>
        </w:rPr>
        <w:t xml:space="preserve">pprehensive patient required to </w:t>
      </w:r>
      <w:r w:rsidR="009B208C">
        <w:rPr>
          <w:rStyle w:val="Strong"/>
          <w:rFonts w:asciiTheme="minorHAnsi" w:hAnsiTheme="minorHAnsi"/>
          <w:b w:val="0"/>
          <w:bCs w:val="0"/>
          <w:sz w:val="22"/>
          <w:szCs w:val="22"/>
          <w:lang w:val="en"/>
        </w:rPr>
        <w:t>undergo a significant medical procedure’.</w:t>
      </w:r>
      <w:r w:rsidR="00895459">
        <w:rPr>
          <w:rStyle w:val="EndnoteReference"/>
          <w:rFonts w:asciiTheme="minorHAnsi" w:hAnsiTheme="minorHAnsi"/>
          <w:sz w:val="22"/>
          <w:szCs w:val="22"/>
          <w:lang w:val="en"/>
        </w:rPr>
        <w:endnoteReference w:id="93"/>
      </w:r>
      <w:r w:rsidR="00E24ADF">
        <w:rPr>
          <w:rStyle w:val="Strong"/>
          <w:rFonts w:asciiTheme="minorHAnsi" w:hAnsiTheme="minorHAnsi"/>
          <w:b w:val="0"/>
          <w:bCs w:val="0"/>
          <w:sz w:val="22"/>
          <w:szCs w:val="22"/>
          <w:lang w:val="en"/>
        </w:rPr>
        <w:t xml:space="preserve"> </w:t>
      </w:r>
    </w:p>
    <w:p w14:paraId="69AFBEEB" w14:textId="77777777" w:rsidR="00E24ADF" w:rsidRDefault="00E24ADF" w:rsidP="001D44C2">
      <w:pPr>
        <w:pStyle w:val="Heading3"/>
        <w:spacing w:after="0" w:afterAutospacing="0" w:line="276" w:lineRule="auto"/>
        <w:jc w:val="both"/>
        <w:rPr>
          <w:rStyle w:val="Strong"/>
          <w:rFonts w:asciiTheme="minorHAnsi" w:hAnsiTheme="minorHAnsi"/>
          <w:b w:val="0"/>
          <w:bCs w:val="0"/>
          <w:sz w:val="22"/>
          <w:szCs w:val="22"/>
          <w:lang w:val="en"/>
        </w:rPr>
      </w:pPr>
    </w:p>
    <w:p w14:paraId="02E6DC4B" w14:textId="327EFF63" w:rsidR="00704D22" w:rsidRPr="009B208C" w:rsidRDefault="00E24ADF" w:rsidP="001D44C2">
      <w:pPr>
        <w:pStyle w:val="Heading3"/>
        <w:spacing w:after="0" w:afterAutospacing="0" w:line="276" w:lineRule="auto"/>
        <w:jc w:val="both"/>
        <w:rPr>
          <w:rStyle w:val="Strong"/>
          <w:rFonts w:asciiTheme="minorHAnsi" w:hAnsiTheme="minorHAnsi"/>
          <w:b w:val="0"/>
          <w:bCs w:val="0"/>
          <w:sz w:val="22"/>
          <w:szCs w:val="22"/>
          <w:lang w:val="en"/>
        </w:rPr>
      </w:pPr>
      <w:r>
        <w:rPr>
          <w:rStyle w:val="Strong"/>
          <w:rFonts w:asciiTheme="minorHAnsi" w:hAnsiTheme="minorHAnsi"/>
          <w:b w:val="0"/>
          <w:bCs w:val="0"/>
          <w:sz w:val="22"/>
          <w:szCs w:val="22"/>
          <w:lang w:val="en"/>
        </w:rPr>
        <w:t xml:space="preserve">Perhaps a crucial distinction is that patients in the latter category are </w:t>
      </w:r>
      <w:r w:rsidR="006B3940">
        <w:rPr>
          <w:rStyle w:val="Strong"/>
          <w:rFonts w:asciiTheme="minorHAnsi" w:hAnsiTheme="minorHAnsi"/>
          <w:b w:val="0"/>
          <w:bCs w:val="0"/>
          <w:sz w:val="22"/>
          <w:szCs w:val="22"/>
          <w:lang w:val="en"/>
        </w:rPr>
        <w:t xml:space="preserve">set to </w:t>
      </w:r>
      <w:r>
        <w:rPr>
          <w:rStyle w:val="Strong"/>
          <w:rFonts w:asciiTheme="minorHAnsi" w:hAnsiTheme="minorHAnsi"/>
          <w:b w:val="0"/>
          <w:bCs w:val="0"/>
          <w:sz w:val="22"/>
          <w:szCs w:val="22"/>
          <w:lang w:val="en"/>
        </w:rPr>
        <w:t>undergo operations to save the</w:t>
      </w:r>
      <w:r w:rsidR="00AF11B5">
        <w:rPr>
          <w:rStyle w:val="Strong"/>
          <w:rFonts w:asciiTheme="minorHAnsi" w:hAnsiTheme="minorHAnsi"/>
          <w:b w:val="0"/>
          <w:bCs w:val="0"/>
          <w:sz w:val="22"/>
          <w:szCs w:val="22"/>
          <w:lang w:val="en"/>
        </w:rPr>
        <w:t>ir</w:t>
      </w:r>
      <w:r>
        <w:rPr>
          <w:rStyle w:val="Strong"/>
          <w:rFonts w:asciiTheme="minorHAnsi" w:hAnsiTheme="minorHAnsi"/>
          <w:b w:val="0"/>
          <w:bCs w:val="0"/>
          <w:sz w:val="22"/>
          <w:szCs w:val="22"/>
          <w:lang w:val="en"/>
        </w:rPr>
        <w:t xml:space="preserve"> lives, to </w:t>
      </w:r>
      <w:r w:rsidR="00AF11B5">
        <w:rPr>
          <w:rStyle w:val="Strong"/>
          <w:rFonts w:asciiTheme="minorHAnsi" w:hAnsiTheme="minorHAnsi"/>
          <w:b w:val="0"/>
          <w:bCs w:val="0"/>
          <w:sz w:val="22"/>
          <w:szCs w:val="22"/>
          <w:lang w:val="en"/>
        </w:rPr>
        <w:t xml:space="preserve">repair their bodies following motor collisions, workplace machinery accidents or other such mishaps, or to relieve disease or bodily malfunction. In the former category, the aim is to </w:t>
      </w:r>
      <w:r w:rsidR="001F11BF">
        <w:rPr>
          <w:rStyle w:val="Strong"/>
          <w:rFonts w:asciiTheme="minorHAnsi" w:hAnsiTheme="minorHAnsi"/>
          <w:b w:val="0"/>
          <w:bCs w:val="0"/>
          <w:sz w:val="22"/>
          <w:szCs w:val="22"/>
          <w:lang w:val="en"/>
        </w:rPr>
        <w:t xml:space="preserve">boost or </w:t>
      </w:r>
      <w:r w:rsidR="00AF11B5">
        <w:rPr>
          <w:rStyle w:val="Strong"/>
          <w:rFonts w:asciiTheme="minorHAnsi" w:hAnsiTheme="minorHAnsi"/>
          <w:b w:val="0"/>
          <w:bCs w:val="0"/>
          <w:sz w:val="22"/>
          <w:szCs w:val="22"/>
          <w:lang w:val="en"/>
        </w:rPr>
        <w:t>enhance a well-functioning body,</w:t>
      </w:r>
      <w:r w:rsidR="006B3940">
        <w:rPr>
          <w:rStyle w:val="Strong"/>
          <w:rFonts w:asciiTheme="minorHAnsi" w:hAnsiTheme="minorHAnsi"/>
          <w:b w:val="0"/>
          <w:bCs w:val="0"/>
          <w:sz w:val="22"/>
          <w:szCs w:val="22"/>
          <w:lang w:val="en"/>
        </w:rPr>
        <w:t xml:space="preserve"> so that there is little thought of the damage that an operation or procedure aimed at </w:t>
      </w:r>
      <w:r w:rsidR="001F11BF">
        <w:rPr>
          <w:rStyle w:val="Strong"/>
          <w:rFonts w:asciiTheme="minorHAnsi" w:hAnsiTheme="minorHAnsi"/>
          <w:b w:val="0"/>
          <w:bCs w:val="0"/>
          <w:sz w:val="22"/>
          <w:szCs w:val="22"/>
          <w:lang w:val="en"/>
        </w:rPr>
        <w:t xml:space="preserve">augmentation </w:t>
      </w:r>
      <w:r w:rsidR="006B3940">
        <w:rPr>
          <w:rStyle w:val="Strong"/>
          <w:rFonts w:asciiTheme="minorHAnsi" w:hAnsiTheme="minorHAnsi"/>
          <w:b w:val="0"/>
          <w:bCs w:val="0"/>
          <w:sz w:val="22"/>
          <w:szCs w:val="22"/>
          <w:lang w:val="en"/>
        </w:rPr>
        <w:t>might do.</w:t>
      </w:r>
      <w:r w:rsidR="00AF11B5">
        <w:rPr>
          <w:rStyle w:val="Strong"/>
          <w:rFonts w:asciiTheme="minorHAnsi" w:hAnsiTheme="minorHAnsi"/>
          <w:b w:val="0"/>
          <w:bCs w:val="0"/>
          <w:sz w:val="22"/>
          <w:szCs w:val="22"/>
          <w:lang w:val="en"/>
        </w:rPr>
        <w:t xml:space="preserve"> </w:t>
      </w:r>
      <w:r w:rsidR="001F11BF">
        <w:rPr>
          <w:rStyle w:val="Strong"/>
          <w:rFonts w:asciiTheme="minorHAnsi" w:hAnsiTheme="minorHAnsi"/>
          <w:b w:val="0"/>
          <w:bCs w:val="0"/>
          <w:sz w:val="22"/>
          <w:szCs w:val="22"/>
          <w:lang w:val="en"/>
        </w:rPr>
        <w:t xml:space="preserve">Alternatively, the seeker after the perfect body accepts that there can be no pain without gain. Just as a prize athlete works out relentlessly, </w:t>
      </w:r>
      <w:r w:rsidR="001F11BF">
        <w:rPr>
          <w:rStyle w:val="Strong"/>
          <w:rFonts w:asciiTheme="minorHAnsi" w:hAnsiTheme="minorHAnsi"/>
          <w:b w:val="0"/>
          <w:bCs w:val="0"/>
          <w:sz w:val="22"/>
          <w:szCs w:val="22"/>
          <w:lang w:val="en"/>
        </w:rPr>
        <w:lastRenderedPageBreak/>
        <w:t xml:space="preserve">driving their body to new and greater heights, the plastic surgery aficionado </w:t>
      </w:r>
      <w:r w:rsidR="001D44C2">
        <w:rPr>
          <w:rStyle w:val="Strong"/>
          <w:rFonts w:asciiTheme="minorHAnsi" w:hAnsiTheme="minorHAnsi"/>
          <w:b w:val="0"/>
          <w:bCs w:val="0"/>
          <w:sz w:val="22"/>
          <w:szCs w:val="22"/>
          <w:lang w:val="en"/>
        </w:rPr>
        <w:t xml:space="preserve">sees the operation or procedure as their way of gaining a better body through the effort of going under the knife. That in the end the expectation may exceed the outcome, or the outcome may </w:t>
      </w:r>
      <w:proofErr w:type="gramStart"/>
      <w:r w:rsidR="001D44C2">
        <w:rPr>
          <w:rStyle w:val="Strong"/>
          <w:rFonts w:asciiTheme="minorHAnsi" w:hAnsiTheme="minorHAnsi"/>
          <w:b w:val="0"/>
          <w:bCs w:val="0"/>
          <w:sz w:val="22"/>
          <w:szCs w:val="22"/>
          <w:lang w:val="en"/>
        </w:rPr>
        <w:t>actually damage</w:t>
      </w:r>
      <w:proofErr w:type="gramEnd"/>
      <w:r w:rsidR="001D44C2">
        <w:rPr>
          <w:rStyle w:val="Strong"/>
          <w:rFonts w:asciiTheme="minorHAnsi" w:hAnsiTheme="minorHAnsi"/>
          <w:b w:val="0"/>
          <w:bCs w:val="0"/>
          <w:sz w:val="22"/>
          <w:szCs w:val="22"/>
          <w:lang w:val="en"/>
        </w:rPr>
        <w:t xml:space="preserve"> rather than improve the body, much less raise its appearance to greater heights, </w:t>
      </w:r>
      <w:r w:rsidR="00AF11B5">
        <w:rPr>
          <w:rStyle w:val="Strong"/>
          <w:rFonts w:asciiTheme="minorHAnsi" w:hAnsiTheme="minorHAnsi"/>
          <w:b w:val="0"/>
          <w:bCs w:val="0"/>
          <w:sz w:val="22"/>
          <w:szCs w:val="22"/>
          <w:lang w:val="en"/>
        </w:rPr>
        <w:t>raises a crucial question about medical operations</w:t>
      </w:r>
      <w:r w:rsidR="001D44C2">
        <w:rPr>
          <w:rStyle w:val="Strong"/>
          <w:rFonts w:asciiTheme="minorHAnsi" w:hAnsiTheme="minorHAnsi"/>
          <w:b w:val="0"/>
          <w:bCs w:val="0"/>
          <w:sz w:val="22"/>
          <w:szCs w:val="22"/>
          <w:lang w:val="en"/>
        </w:rPr>
        <w:t>, consent and the criminal law</w:t>
      </w:r>
      <w:r w:rsidR="00AF11B5">
        <w:rPr>
          <w:rStyle w:val="Strong"/>
          <w:rFonts w:asciiTheme="minorHAnsi" w:hAnsiTheme="minorHAnsi"/>
          <w:b w:val="0"/>
          <w:bCs w:val="0"/>
          <w:sz w:val="22"/>
          <w:szCs w:val="22"/>
          <w:lang w:val="en"/>
        </w:rPr>
        <w:t xml:space="preserve">. </w:t>
      </w:r>
    </w:p>
    <w:p w14:paraId="0F08EF51" w14:textId="4D1842A8" w:rsidR="00E62729" w:rsidRDefault="00E62729" w:rsidP="001D44C2">
      <w:pPr>
        <w:spacing w:after="0"/>
        <w:jc w:val="both"/>
        <w:rPr>
          <w:b/>
          <w:bCs/>
        </w:rPr>
      </w:pPr>
    </w:p>
    <w:p w14:paraId="66CC573B" w14:textId="6946F559" w:rsidR="00333C7D" w:rsidRDefault="00A02B6A" w:rsidP="001D44C2">
      <w:pPr>
        <w:spacing w:after="0"/>
        <w:jc w:val="both"/>
        <w:rPr>
          <w:b/>
          <w:bCs/>
        </w:rPr>
      </w:pPr>
      <w:r>
        <w:rPr>
          <w:b/>
          <w:bCs/>
        </w:rPr>
        <w:t xml:space="preserve">3.   </w:t>
      </w:r>
      <w:r w:rsidR="00333C7D" w:rsidRPr="00D404BC">
        <w:rPr>
          <w:b/>
          <w:bCs/>
        </w:rPr>
        <w:t xml:space="preserve">The </w:t>
      </w:r>
      <w:r w:rsidR="001D3EDE" w:rsidRPr="00D404BC">
        <w:rPr>
          <w:b/>
          <w:bCs/>
        </w:rPr>
        <w:t xml:space="preserve">Criminal Body &amp; the </w:t>
      </w:r>
      <w:r w:rsidR="00333C7D" w:rsidRPr="00D404BC">
        <w:rPr>
          <w:b/>
          <w:bCs/>
        </w:rPr>
        <w:t>Body in Crime</w:t>
      </w:r>
    </w:p>
    <w:p w14:paraId="0DFEB3CF" w14:textId="77777777" w:rsidR="001D44C2" w:rsidRPr="00D404BC" w:rsidRDefault="001D44C2" w:rsidP="001D44C2">
      <w:pPr>
        <w:spacing w:after="0"/>
        <w:jc w:val="both"/>
        <w:rPr>
          <w:b/>
          <w:bCs/>
        </w:rPr>
      </w:pPr>
    </w:p>
    <w:p w14:paraId="6D65E069" w14:textId="56A30A40" w:rsidR="001D44C2" w:rsidRDefault="001D3EDE" w:rsidP="001D44C2">
      <w:pPr>
        <w:spacing w:after="0"/>
        <w:jc w:val="both"/>
      </w:pPr>
      <w:r w:rsidRPr="00D404BC">
        <w:t xml:space="preserve">In 1934, Mr Donovan </w:t>
      </w:r>
      <w:r w:rsidR="00347117" w:rsidRPr="00D404BC">
        <w:t>took a young woman of seventeen years into his garage to strike her repeatedly with a cane. His aim, it appears, was his own sexual gratification. She, he said, consented</w:t>
      </w:r>
      <w:r w:rsidR="00C90E64">
        <w:t>. She nevertheless</w:t>
      </w:r>
      <w:r w:rsidR="00A02B6A">
        <w:t xml:space="preserve"> </w:t>
      </w:r>
      <w:r w:rsidR="001D44C2">
        <w:t xml:space="preserve">having suffered </w:t>
      </w:r>
      <w:proofErr w:type="gramStart"/>
      <w:r w:rsidR="001D44C2">
        <w:t>bruising</w:t>
      </w:r>
      <w:r w:rsidR="00C90E64">
        <w:t>,</w:t>
      </w:r>
      <w:proofErr w:type="gramEnd"/>
      <w:r w:rsidR="00C90E64">
        <w:t xml:space="preserve"> t</w:t>
      </w:r>
      <w:r w:rsidR="001D44C2">
        <w:t xml:space="preserve">he </w:t>
      </w:r>
      <w:r w:rsidR="00347117" w:rsidRPr="00D404BC">
        <w:t>trans</w:t>
      </w:r>
      <w:r w:rsidR="00831922" w:rsidRPr="00D404BC">
        <w:t xml:space="preserve">action </w:t>
      </w:r>
      <w:r w:rsidR="00A02B6A">
        <w:t>c</w:t>
      </w:r>
      <w:r w:rsidR="00C90E64">
        <w:t>ame</w:t>
      </w:r>
      <w:r w:rsidR="00A02B6A">
        <w:t xml:space="preserve"> </w:t>
      </w:r>
      <w:r w:rsidR="00831922" w:rsidRPr="00D404BC">
        <w:t>to police attention</w:t>
      </w:r>
      <w:r w:rsidR="00C90E64">
        <w:t xml:space="preserve">. </w:t>
      </w:r>
      <w:r w:rsidR="00831922" w:rsidRPr="00D404BC">
        <w:t xml:space="preserve">Donovan </w:t>
      </w:r>
      <w:r w:rsidRPr="00D404BC">
        <w:t xml:space="preserve">was prosecuted for </w:t>
      </w:r>
      <w:r w:rsidR="001D44C2">
        <w:t xml:space="preserve">indecent assault and </w:t>
      </w:r>
      <w:r w:rsidR="00234F52" w:rsidRPr="00D404BC">
        <w:t xml:space="preserve">causing actual bodily harm. </w:t>
      </w:r>
      <w:r w:rsidR="00831922" w:rsidRPr="00D404BC">
        <w:t xml:space="preserve">Possibly taking a dim view of unorthodox sexual activity </w:t>
      </w:r>
      <w:r w:rsidR="00C90E64">
        <w:t xml:space="preserve">occurring </w:t>
      </w:r>
      <w:r w:rsidR="00831922" w:rsidRPr="00D404BC">
        <w:t xml:space="preserve">in a domestic garage, the </w:t>
      </w:r>
      <w:r w:rsidR="001D44C2">
        <w:t xml:space="preserve">court gave short shift to the proposition that as the young woman had consented, there was no crime. Justice Swift said that where a person intends to inflict bodily harm, </w:t>
      </w:r>
      <w:r w:rsidR="00A02B6A">
        <w:t xml:space="preserve">that is </w:t>
      </w:r>
      <w:r w:rsidR="001D44C2">
        <w:t xml:space="preserve">‘… any hurt or injury calculated to interfere with the health or comfort’ of the victim …’ </w:t>
      </w:r>
      <w:r w:rsidR="003C2021">
        <w:t xml:space="preserve">so long as it is ‘not transient or trifling’, </w:t>
      </w:r>
      <w:r w:rsidR="001D44C2">
        <w:t>the victim’s consent cannot render otherwise unlawful conduct lawful. Donovan was convicted.</w:t>
      </w:r>
      <w:r w:rsidR="00C11F9C">
        <w:rPr>
          <w:rStyle w:val="EndnoteReference"/>
        </w:rPr>
        <w:endnoteReference w:id="94"/>
      </w:r>
      <w:r w:rsidR="009037B6">
        <w:t xml:space="preserve"> </w:t>
      </w:r>
      <w:r w:rsidR="006D1974">
        <w:t xml:space="preserve">Similarly where </w:t>
      </w:r>
      <w:r w:rsidR="00C90E64">
        <w:t xml:space="preserve">Mr Emmett </w:t>
      </w:r>
      <w:r w:rsidR="006D1974">
        <w:t xml:space="preserve">tied a plastic bag around his partners head and neck, and </w:t>
      </w:r>
      <w:r w:rsidR="00C90E64">
        <w:t xml:space="preserve">on another occasion </w:t>
      </w:r>
      <w:r w:rsidR="006D1974">
        <w:t xml:space="preserve">dripped </w:t>
      </w:r>
      <w:r w:rsidR="00CA7170">
        <w:t xml:space="preserve">lighter fluid </w:t>
      </w:r>
      <w:r w:rsidR="006D1974">
        <w:t>on</w:t>
      </w:r>
      <w:r w:rsidR="00CA7170">
        <w:t>to</w:t>
      </w:r>
      <w:r w:rsidR="006D1974">
        <w:t xml:space="preserve"> her abdomen</w:t>
      </w:r>
      <w:r w:rsidR="00CA7170">
        <w:t>, then set it alight</w:t>
      </w:r>
      <w:r w:rsidR="006D1974">
        <w:t>.</w:t>
      </w:r>
      <w:r w:rsidR="005E3A52">
        <w:rPr>
          <w:rStyle w:val="EndnoteReference"/>
        </w:rPr>
        <w:endnoteReference w:id="95"/>
      </w:r>
      <w:r w:rsidR="006D1974">
        <w:t xml:space="preserve"> His claim that she consented as part of a sexual game designed to gain both parties sexual gratification held no force when the matter came to trial. He, too, was found guilty.</w:t>
      </w:r>
      <w:r w:rsidR="00154774">
        <w:rPr>
          <w:rStyle w:val="EndnoteReference"/>
        </w:rPr>
        <w:endnoteReference w:id="96"/>
      </w:r>
      <w:r w:rsidR="006D1974">
        <w:t xml:space="preserve"> </w:t>
      </w:r>
      <w:r w:rsidR="009037B6">
        <w:t>Clearly, though, this rule is not absolute. Otherwise, surgeons would be prosecuted daily for carrying out their work.</w:t>
      </w:r>
      <w:r w:rsidR="00875F5E">
        <w:t xml:space="preserve"> So would beauticians conducting procedures that require breaking of the skin or result in bruising, such as </w:t>
      </w:r>
      <w:r w:rsidR="0076706C">
        <w:t>Botox</w:t>
      </w:r>
      <w:r w:rsidR="00875F5E">
        <w:t xml:space="preserve">, fillers, </w:t>
      </w:r>
      <w:r w:rsidR="0076706C">
        <w:t>derma blading</w:t>
      </w:r>
      <w:r w:rsidR="00875F5E">
        <w:t xml:space="preserve"> …</w:t>
      </w:r>
    </w:p>
    <w:p w14:paraId="735C5940" w14:textId="77777777" w:rsidR="001D44C2" w:rsidRDefault="001D44C2" w:rsidP="001D44C2">
      <w:pPr>
        <w:spacing w:after="0"/>
        <w:jc w:val="both"/>
      </w:pPr>
    </w:p>
    <w:p w14:paraId="40C7A1A6" w14:textId="397F68EF" w:rsidR="00730922" w:rsidRDefault="009037B6" w:rsidP="00730922">
      <w:pPr>
        <w:spacing w:after="0" w:line="276" w:lineRule="auto"/>
        <w:jc w:val="both"/>
      </w:pPr>
      <w:r>
        <w:t xml:space="preserve">A </w:t>
      </w:r>
      <w:r w:rsidR="00E70440">
        <w:t xml:space="preserve">surgeon’s intention in cutting into a patient’s body when conducting a medical operation is to ‘inflict bodily harm’. </w:t>
      </w:r>
      <w:r>
        <w:t>Th</w:t>
      </w:r>
      <w:r w:rsidR="00E70440">
        <w:t xml:space="preserve">e ultimate proposition is that in so doing, the surgeon will </w:t>
      </w:r>
      <w:proofErr w:type="gramStart"/>
      <w:r w:rsidR="00E70440">
        <w:t>effect</w:t>
      </w:r>
      <w:proofErr w:type="gramEnd"/>
      <w:r w:rsidR="00E70440">
        <w:t xml:space="preserve"> a positive outcome, although this aim cannot always be assured. But from the law’s perspective, the initial </w:t>
      </w:r>
      <w:proofErr w:type="gramStart"/>
      <w:r w:rsidR="00E70440">
        <w:t>intention</w:t>
      </w:r>
      <w:proofErr w:type="gramEnd"/>
      <w:r w:rsidR="00E70440">
        <w:t xml:space="preserve"> and the infliction of bodily harm amount to common law battery, actual bodily harm, unlawful wounding or grievous or serious bodily harm</w:t>
      </w:r>
      <w:r w:rsidR="00C90E64">
        <w:t>, depending upon the magnitude of the damage</w:t>
      </w:r>
      <w:r w:rsidR="00E70440">
        <w:t xml:space="preserve">. </w:t>
      </w:r>
      <w:r w:rsidR="003C2021">
        <w:t xml:space="preserve">What renders otherwise criminal conduct lawful is </w:t>
      </w:r>
      <w:r w:rsidR="00E70440">
        <w:t>th</w:t>
      </w:r>
      <w:r w:rsidR="003C2021">
        <w:t>at th</w:t>
      </w:r>
      <w:r w:rsidR="00E70440">
        <w:t xml:space="preserve">e surgeon operates with the requisite professional skill and care, </w:t>
      </w:r>
      <w:r w:rsidR="0025632E">
        <w:t xml:space="preserve">the patient consents, and </w:t>
      </w:r>
      <w:r w:rsidR="00E50E7F">
        <w:t xml:space="preserve">the </w:t>
      </w:r>
      <w:r w:rsidR="003C2021">
        <w:t>operation is for the patient’s benefit.</w:t>
      </w:r>
      <w:r>
        <w:t xml:space="preserve"> </w:t>
      </w:r>
      <w:r w:rsidR="0025632E">
        <w:t xml:space="preserve">Where the law gets into difficulty, however, is </w:t>
      </w:r>
      <w:proofErr w:type="gramStart"/>
      <w:r w:rsidR="0025632E">
        <w:t>in the area of</w:t>
      </w:r>
      <w:proofErr w:type="gramEnd"/>
      <w:r w:rsidR="0025632E">
        <w:t xml:space="preserve"> body embellishment and adornment. </w:t>
      </w:r>
      <w:r>
        <w:t xml:space="preserve">This begins to slide into the territory, or some of the territory, occupied by plastic, cosmetic and aesthetic surgeons and other professionals working in body augmentation. </w:t>
      </w:r>
      <w:r w:rsidR="0025632E">
        <w:t>For example, so long as a tattooist or piercing specialist is registered with a licence renewed annually</w:t>
      </w:r>
      <w:r>
        <w:t xml:space="preserve"> and carries out the job with care and skill to the standard set down, now, by </w:t>
      </w:r>
      <w:r>
        <w:rPr>
          <w:i/>
          <w:iCs/>
        </w:rPr>
        <w:t>Montgomery</w:t>
      </w:r>
      <w:r>
        <w:rPr>
          <w:rStyle w:val="EndnoteReference"/>
        </w:rPr>
        <w:endnoteReference w:id="97"/>
      </w:r>
      <w:r w:rsidR="0025632E">
        <w:t xml:space="preserve"> </w:t>
      </w:r>
      <w:r w:rsidR="00834C33">
        <w:t xml:space="preserve">they are acting lawfully. </w:t>
      </w:r>
      <w:r w:rsidR="00E86DC1">
        <w:t>Although their time is spent inflicting actual bodily harm or unlawful wounding (by breaking both lawyers of the skin to complete ear piercing, for example), th</w:t>
      </w:r>
      <w:r w:rsidR="0025632E">
        <w:t xml:space="preserve">ey do their job lawfully, piercing their clients’ skin </w:t>
      </w:r>
      <w:r w:rsidR="00E86DC1">
        <w:t xml:space="preserve">and body parts (ears, tongue, navel and </w:t>
      </w:r>
      <w:r w:rsidR="00834C33">
        <w:t>so on</w:t>
      </w:r>
      <w:r w:rsidR="00E86DC1">
        <w:t xml:space="preserve">) </w:t>
      </w:r>
      <w:r w:rsidR="0025632E">
        <w:t>with instruments designed for the purpose.</w:t>
      </w:r>
      <w:r w:rsidR="003265C5">
        <w:rPr>
          <w:rStyle w:val="EndnoteReference"/>
        </w:rPr>
        <w:endnoteReference w:id="98"/>
      </w:r>
      <w:r w:rsidR="003C2021">
        <w:t xml:space="preserve"> </w:t>
      </w:r>
      <w:r w:rsidR="00E86DC1">
        <w:t xml:space="preserve">What, however, of a </w:t>
      </w:r>
      <w:r w:rsidR="002B075B">
        <w:t xml:space="preserve">licenced </w:t>
      </w:r>
      <w:r w:rsidR="00E86DC1">
        <w:t xml:space="preserve">body artist </w:t>
      </w:r>
      <w:r w:rsidR="002B075B">
        <w:t xml:space="preserve">operating from registered premises </w:t>
      </w:r>
      <w:r w:rsidR="00E86DC1">
        <w:t xml:space="preserve">who advertises </w:t>
      </w:r>
      <w:r w:rsidR="002B075B">
        <w:t>tattooing, acupuncture, electrolysis, semi-perm</w:t>
      </w:r>
      <w:r w:rsidR="00730922">
        <w:t>a</w:t>
      </w:r>
      <w:r w:rsidR="002B075B">
        <w:t xml:space="preserve">nent skin colouring, ear piercing and ‘other’ skin piercing, including </w:t>
      </w:r>
      <w:r w:rsidR="00E86DC1">
        <w:t xml:space="preserve">more radical services such as </w:t>
      </w:r>
      <w:r w:rsidR="00B1017C">
        <w:t xml:space="preserve">bifurcating tongues, </w:t>
      </w:r>
      <w:r w:rsidR="00E86DC1">
        <w:t xml:space="preserve">piercing labia, nipple and penis, </w:t>
      </w:r>
      <w:r w:rsidR="002B075B">
        <w:t xml:space="preserve">cutting off ears, or placing objects under the skin? </w:t>
      </w:r>
      <w:r w:rsidR="00834C33">
        <w:t xml:space="preserve">Some </w:t>
      </w:r>
      <w:r w:rsidR="00730922">
        <w:t xml:space="preserve">of these services are </w:t>
      </w:r>
      <w:proofErr w:type="gramStart"/>
      <w:r w:rsidR="00730922">
        <w:t>similar to</w:t>
      </w:r>
      <w:proofErr w:type="gramEnd"/>
      <w:r w:rsidR="00730922">
        <w:t xml:space="preserve"> those conducted by plastic, cosmetic and aesthetic surgery, embedding fillers in lips and cheeks, injecting </w:t>
      </w:r>
      <w:r w:rsidR="0076706C">
        <w:t>Botox</w:t>
      </w:r>
      <w:r w:rsidR="00730922">
        <w:t xml:space="preserve">, microblading, removing body hair by wax, electrolysis or other means, and </w:t>
      </w:r>
      <w:r w:rsidR="00834C33">
        <w:t>the like</w:t>
      </w:r>
      <w:r w:rsidR="00730922">
        <w:t xml:space="preserve">. Does the law class </w:t>
      </w:r>
      <w:r w:rsidR="00834C33">
        <w:t xml:space="preserve">all of </w:t>
      </w:r>
      <w:r w:rsidR="00730922">
        <w:t xml:space="preserve">them legal because consent is </w:t>
      </w:r>
      <w:r w:rsidR="00730922">
        <w:lastRenderedPageBreak/>
        <w:t xml:space="preserve">obtained and the work is of a good standard, or do the courts enforce actual bodily harm and similar laws? This question arose in 2018 in </w:t>
      </w:r>
      <w:r w:rsidR="00730922">
        <w:rPr>
          <w:i/>
          <w:iCs/>
        </w:rPr>
        <w:t>Regina v BM</w:t>
      </w:r>
      <w:r w:rsidR="00730922">
        <w:t>.</w:t>
      </w:r>
      <w:r w:rsidR="00730922">
        <w:rPr>
          <w:rStyle w:val="EndnoteReference"/>
        </w:rPr>
        <w:endnoteReference w:id="99"/>
      </w:r>
    </w:p>
    <w:p w14:paraId="0AFC4828" w14:textId="0B68E001" w:rsidR="00335A05" w:rsidRDefault="00335A05" w:rsidP="00730922">
      <w:pPr>
        <w:spacing w:after="0" w:line="276" w:lineRule="auto"/>
        <w:jc w:val="both"/>
      </w:pPr>
    </w:p>
    <w:p w14:paraId="5166460D" w14:textId="1F920415" w:rsidR="00335A05" w:rsidRDefault="00335A05" w:rsidP="00730922">
      <w:pPr>
        <w:spacing w:after="0" w:line="276" w:lineRule="auto"/>
        <w:jc w:val="both"/>
      </w:pPr>
      <w:r>
        <w:t xml:space="preserve">BM was charged </w:t>
      </w:r>
      <w:r w:rsidR="00834C33">
        <w:t xml:space="preserve">under section 18 of the Offences Against the Person Act 1861 </w:t>
      </w:r>
      <w:r>
        <w:t>with three counts of wounding with intent to do grievous bodily harm.</w:t>
      </w:r>
      <w:r w:rsidR="0057074E">
        <w:t xml:space="preserve"> The counts related to, first</w:t>
      </w:r>
      <w:r w:rsidR="00834C33">
        <w:t>,</w:t>
      </w:r>
      <w:r w:rsidR="0057074E">
        <w:t xml:space="preserve"> an allegation that </w:t>
      </w:r>
      <w:r w:rsidR="00834C33">
        <w:t>BM</w:t>
      </w:r>
      <w:r w:rsidR="0057074E">
        <w:t xml:space="preserve"> had removed a customer’s </w:t>
      </w:r>
      <w:proofErr w:type="gramStart"/>
      <w:r w:rsidR="0057074E">
        <w:t>ear;  secondly</w:t>
      </w:r>
      <w:proofErr w:type="gramEnd"/>
      <w:r w:rsidR="00834C33">
        <w:t>,</w:t>
      </w:r>
      <w:r w:rsidR="0057074E">
        <w:t xml:space="preserve"> that he had removed a customer’s nipple;  and thirdly</w:t>
      </w:r>
      <w:r w:rsidR="00834C33">
        <w:t>,</w:t>
      </w:r>
      <w:r w:rsidR="0057074E">
        <w:t xml:space="preserve"> that he had cut a customer’s tongue, dividing it to </w:t>
      </w:r>
      <w:r w:rsidR="00834C33">
        <w:t xml:space="preserve">create </w:t>
      </w:r>
      <w:r w:rsidR="0057074E">
        <w:t xml:space="preserve">give a reptilian appearance. BM did not dispute </w:t>
      </w:r>
      <w:r w:rsidR="00834C33">
        <w:t xml:space="preserve">doing </w:t>
      </w:r>
      <w:r w:rsidR="0057074E">
        <w:t>these acts</w:t>
      </w:r>
      <w:r w:rsidR="00834C33">
        <w:t>. H</w:t>
      </w:r>
      <w:r w:rsidR="0057074E">
        <w:t xml:space="preserve">is defence </w:t>
      </w:r>
      <w:r w:rsidR="00834C33">
        <w:t xml:space="preserve">was </w:t>
      </w:r>
      <w:r w:rsidR="0057074E">
        <w:t xml:space="preserve">that each of the three customers had consented. Two other matters were potentially open to prosecution, but no charges had yet been laid. One was the insertion of transdermal implants into </w:t>
      </w:r>
      <w:r w:rsidR="00834C33">
        <w:t>a customer’s</w:t>
      </w:r>
      <w:r w:rsidR="0057074E">
        <w:t xml:space="preserve"> scalp. The other was inserting an object (which appeared to be a large </w:t>
      </w:r>
      <w:r w:rsidR="00834C33">
        <w:t xml:space="preserve">metal </w:t>
      </w:r>
      <w:r w:rsidR="0057074E">
        <w:t>‘eye’) under the skin of another’s hand.</w:t>
      </w:r>
      <w:r w:rsidR="00AA00AB">
        <w:t xml:space="preserve"> </w:t>
      </w:r>
      <w:r w:rsidR="0057074E">
        <w:t>Insofar as all these operations or procedures necessarily involved cutting</w:t>
      </w:r>
      <w:r w:rsidR="00AA00AB">
        <w:t>, with associated bleeding and bruising, t</w:t>
      </w:r>
      <w:r w:rsidR="0057074E">
        <w:t xml:space="preserve">he issue was squarely that which </w:t>
      </w:r>
      <w:r w:rsidR="00834C33">
        <w:t>was b</w:t>
      </w:r>
      <w:r w:rsidR="0057074E">
        <w:t>efore the court back in</w:t>
      </w:r>
      <w:r w:rsidR="00AA00AB">
        <w:t xml:space="preserve"> </w:t>
      </w:r>
      <w:r w:rsidR="0057074E">
        <w:t xml:space="preserve">1934 in </w:t>
      </w:r>
      <w:r w:rsidR="0057074E">
        <w:rPr>
          <w:i/>
          <w:iCs/>
        </w:rPr>
        <w:t>Donovan</w:t>
      </w:r>
      <w:r w:rsidR="0057074E">
        <w:t xml:space="preserve">. The only difference was that </w:t>
      </w:r>
      <w:r w:rsidR="00360896">
        <w:t xml:space="preserve">rather than undertaking the work surreptitiously in the family garage, </w:t>
      </w:r>
      <w:r w:rsidR="0057074E">
        <w:t>BM had professional premises operat</w:t>
      </w:r>
      <w:r w:rsidR="00360896">
        <w:t>ed</w:t>
      </w:r>
      <w:r w:rsidR="0057074E">
        <w:t xml:space="preserve"> lawfully </w:t>
      </w:r>
      <w:r w:rsidR="00AA00AB">
        <w:t>under the Local Government (Miscellaneous Provisions) Act 1982</w:t>
      </w:r>
      <w:r w:rsidR="00360896">
        <w:t xml:space="preserve">. This, at least, was </w:t>
      </w:r>
      <w:proofErr w:type="gramStart"/>
      <w:r w:rsidR="00360896">
        <w:t xml:space="preserve">with </w:t>
      </w:r>
      <w:r w:rsidR="0057074E">
        <w:t>regard to</w:t>
      </w:r>
      <w:proofErr w:type="gramEnd"/>
      <w:r w:rsidR="0057074E">
        <w:t xml:space="preserve"> his licenced work of tattooing and body piercing.</w:t>
      </w:r>
      <w:r w:rsidR="00AA00AB">
        <w:t xml:space="preserve"> </w:t>
      </w:r>
      <w:r w:rsidR="00F010AA">
        <w:t xml:space="preserve">‘Body modification’, accepted as describing the wounding constituting the three counts on which BM was to be tried, is unregulated and anyone can assume the role of body modifier. </w:t>
      </w:r>
      <w:r w:rsidR="00360896">
        <w:t xml:space="preserve"> BM’s premises were not licenced for the activities the subject of his criminal prosecution.</w:t>
      </w:r>
    </w:p>
    <w:p w14:paraId="19888B07" w14:textId="264A580C" w:rsidR="00F010AA" w:rsidRDefault="00F010AA" w:rsidP="00730922">
      <w:pPr>
        <w:spacing w:after="0" w:line="276" w:lineRule="auto"/>
        <w:jc w:val="both"/>
      </w:pPr>
    </w:p>
    <w:p w14:paraId="1E34D09C" w14:textId="183627CE" w:rsidR="00172D89" w:rsidRDefault="00F010AA" w:rsidP="00730922">
      <w:pPr>
        <w:spacing w:after="0" w:line="276" w:lineRule="auto"/>
        <w:jc w:val="both"/>
      </w:pPr>
      <w:r>
        <w:t xml:space="preserve">The three procedures were conducted </w:t>
      </w:r>
      <w:r w:rsidR="00172D89">
        <w:t>without anaesthetic</w:t>
      </w:r>
      <w:r w:rsidR="009961CF">
        <w:t xml:space="preserve">. Signed </w:t>
      </w:r>
      <w:r>
        <w:t>consent forms were produced in evidence</w:t>
      </w:r>
      <w:r w:rsidR="009961CF">
        <w:t xml:space="preserve"> for two</w:t>
      </w:r>
      <w:r>
        <w:t xml:space="preserve">. </w:t>
      </w:r>
      <w:r w:rsidR="00834C33">
        <w:t>A</w:t>
      </w:r>
      <w:r>
        <w:t xml:space="preserve">n ear, nose and throat specialist and </w:t>
      </w:r>
      <w:r w:rsidR="00834C33">
        <w:t xml:space="preserve">a </w:t>
      </w:r>
      <w:r>
        <w:t xml:space="preserve">consultant plastic surgeon </w:t>
      </w:r>
      <w:r w:rsidR="00834C33">
        <w:t xml:space="preserve">gave evidence </w:t>
      </w:r>
      <w:r>
        <w:t xml:space="preserve">as to the pain and damage caused by removal of an ear. The plastic surgeon gave evidence relating to the nipple removal and tongue splitting. </w:t>
      </w:r>
      <w:proofErr w:type="gramStart"/>
      <w:r>
        <w:t>He</w:t>
      </w:r>
      <w:proofErr w:type="gramEnd"/>
      <w:r>
        <w:t xml:space="preserve"> spoke of the pain and continuing health consequences, saying </w:t>
      </w:r>
      <w:r w:rsidR="00172D89">
        <w:t>that</w:t>
      </w:r>
      <w:r>
        <w:t xml:space="preserve"> the procedures would ‘never be done by </w:t>
      </w:r>
      <w:r w:rsidR="00172D89">
        <w:t>a reputable</w:t>
      </w:r>
      <w:r>
        <w:t xml:space="preserve"> surgeon for </w:t>
      </w:r>
      <w:r w:rsidR="00172D89">
        <w:t>aesthetic</w:t>
      </w:r>
      <w:r>
        <w:t xml:space="preserve"> </w:t>
      </w:r>
      <w:r w:rsidR="00172D89">
        <w:t>purposes</w:t>
      </w:r>
      <w:r>
        <w:t xml:space="preserve"> or … any other purpose’.</w:t>
      </w:r>
      <w:r w:rsidR="00FF113B">
        <w:rPr>
          <w:rStyle w:val="EndnoteReference"/>
        </w:rPr>
        <w:endnoteReference w:id="100"/>
      </w:r>
      <w:r>
        <w:t xml:space="preserve"> </w:t>
      </w:r>
    </w:p>
    <w:p w14:paraId="530518DD" w14:textId="0597BFB7" w:rsidR="00A064DA" w:rsidRDefault="00A064DA" w:rsidP="00730922">
      <w:pPr>
        <w:spacing w:after="0" w:line="276" w:lineRule="auto"/>
        <w:jc w:val="both"/>
      </w:pPr>
    </w:p>
    <w:p w14:paraId="29A27266" w14:textId="5C88D054" w:rsidR="00A064DA" w:rsidRDefault="00A064DA" w:rsidP="00730922">
      <w:pPr>
        <w:spacing w:after="0" w:line="276" w:lineRule="auto"/>
        <w:jc w:val="both"/>
      </w:pPr>
      <w:r>
        <w:t>The court referred to cases defining the meaning of ‘actual bodily harm’, ‘wounding’ and ‘infliction of grievous bodily harm’. Actual bodily harm is accepted a</w:t>
      </w:r>
      <w:r w:rsidR="0059333B">
        <w:t>s</w:t>
      </w:r>
      <w:r>
        <w:t xml:space="preserve"> meaning any injury ‘</w:t>
      </w:r>
      <w:r w:rsidR="00170340">
        <w:t>calculated</w:t>
      </w:r>
      <w:r>
        <w:t xml:space="preserve"> to interfere with the healt</w:t>
      </w:r>
      <w:r w:rsidR="00170340">
        <w:t>h</w:t>
      </w:r>
      <w:r>
        <w:t xml:space="preserve"> and </w:t>
      </w:r>
      <w:r w:rsidR="00170340">
        <w:t>comfort</w:t>
      </w:r>
      <w:r>
        <w:t xml:space="preserve">’ of the </w:t>
      </w:r>
      <w:proofErr w:type="gramStart"/>
      <w:r w:rsidR="00170340">
        <w:t>victim</w:t>
      </w:r>
      <w:r>
        <w:t>, but</w:t>
      </w:r>
      <w:proofErr w:type="gramEnd"/>
      <w:r>
        <w:t xml:space="preserve"> must be ‘more than </w:t>
      </w:r>
      <w:r w:rsidR="00170340">
        <w:t>transient</w:t>
      </w:r>
      <w:r>
        <w:t xml:space="preserve"> or </w:t>
      </w:r>
      <w:r w:rsidR="00170340">
        <w:t>trifling</w:t>
      </w:r>
      <w:r>
        <w:t>’.</w:t>
      </w:r>
      <w:r>
        <w:rPr>
          <w:rStyle w:val="EndnoteReference"/>
        </w:rPr>
        <w:endnoteReference w:id="101"/>
      </w:r>
      <w:r w:rsidR="009961CF">
        <w:t xml:space="preserve"> A wound is constituted by breaking of the whole of the sk</w:t>
      </w:r>
      <w:r w:rsidR="003C6AED">
        <w:t xml:space="preserve">in – dermis and epidermis, and includes inner skin within cheek, lip and urethra. Infliction of grievous bodily harm means </w:t>
      </w:r>
      <w:proofErr w:type="gramStart"/>
      <w:r w:rsidR="003C6AED">
        <w:t>really serious</w:t>
      </w:r>
      <w:proofErr w:type="gramEnd"/>
      <w:r w:rsidR="003C6AED">
        <w:t xml:space="preserve"> bodily harm. C</w:t>
      </w:r>
      <w:r w:rsidR="00A17E09">
        <w:t>a</w:t>
      </w:r>
      <w:r w:rsidR="003C6AED">
        <w:t xml:space="preserve">ses including </w:t>
      </w:r>
      <w:r>
        <w:rPr>
          <w:i/>
          <w:iCs/>
        </w:rPr>
        <w:t>Donovan</w:t>
      </w:r>
      <w:r w:rsidR="003C6AED">
        <w:t xml:space="preserve"> were considered, wh</w:t>
      </w:r>
      <w:r w:rsidR="00A17E09">
        <w:t>e</w:t>
      </w:r>
      <w:r w:rsidR="003C6AED">
        <w:t>re convictions were upheld for inflicting various levels of harm and damage ‘not transient or trifling’ despite the vi</w:t>
      </w:r>
      <w:r w:rsidR="00A17E09">
        <w:t>c</w:t>
      </w:r>
      <w:r w:rsidR="003C6AED">
        <w:t>tims’ consent. The court also set out situations where harm and damage were caused but not considered to breach the law</w:t>
      </w:r>
      <w:r w:rsidR="00C83DA1">
        <w:t xml:space="preserve">. These included </w:t>
      </w:r>
      <w:r w:rsidR="003C6AED">
        <w:t>properly conduct</w:t>
      </w:r>
      <w:r w:rsidR="00C83DA1">
        <w:t>ed</w:t>
      </w:r>
      <w:r w:rsidR="003C6AED">
        <w:t xml:space="preserve"> games or sports, lawful chastisement or correction, dangerous exhibitions</w:t>
      </w:r>
      <w:r w:rsidR="00B73F95">
        <w:t xml:space="preserve"> or jostling in a crowd</w:t>
      </w:r>
      <w:r w:rsidR="003C6AED">
        <w:t>.</w:t>
      </w:r>
      <w:r w:rsidR="003C6AED">
        <w:rPr>
          <w:rStyle w:val="EndnoteReference"/>
        </w:rPr>
        <w:endnoteReference w:id="102"/>
      </w:r>
      <w:r w:rsidR="00A17E09">
        <w:t xml:space="preserve"> Reference was made to surgical procedures, with no particularly definitive basis being set </w:t>
      </w:r>
      <w:r w:rsidR="00C83DA1">
        <w:t>f</w:t>
      </w:r>
      <w:r w:rsidR="00A17E09">
        <w:t>or its being lawful rather than breaching the criminal law as battery, actual bodily or grievous bodily harm or wounding:</w:t>
      </w:r>
    </w:p>
    <w:p w14:paraId="4FEBBB6B" w14:textId="2181C679" w:rsidR="00A17E09" w:rsidRDefault="00A17E09" w:rsidP="00730922">
      <w:pPr>
        <w:spacing w:after="0" w:line="276" w:lineRule="auto"/>
        <w:jc w:val="both"/>
      </w:pPr>
    </w:p>
    <w:p w14:paraId="0AA7D831" w14:textId="6F28DF04" w:rsidR="00A17E09" w:rsidRDefault="00A17E09" w:rsidP="00A17E09">
      <w:pPr>
        <w:spacing w:after="0" w:line="276" w:lineRule="auto"/>
        <w:ind w:left="720"/>
        <w:jc w:val="both"/>
      </w:pPr>
      <w:r>
        <w:t>Many of the acts done by surgeons would be very serious crimes if done by anyone else, and yet the surgeons incur no liability. Actual cons</w:t>
      </w:r>
      <w:r w:rsidR="00C83DA1">
        <w:t>ent</w:t>
      </w:r>
      <w:r>
        <w:t xml:space="preserve">, or the substitute for consent </w:t>
      </w:r>
      <w:r w:rsidR="00373AB8">
        <w:t>deemed</w:t>
      </w:r>
      <w:r>
        <w:t xml:space="preserve"> by the law to exist where an emergency creates a need for action, is an essential element in this </w:t>
      </w:r>
      <w:proofErr w:type="gramStart"/>
      <w:r>
        <w:t>immunity;  but</w:t>
      </w:r>
      <w:proofErr w:type="gramEnd"/>
      <w:r>
        <w:t xml:space="preserve"> it cannot be a direct explanation for it, since much of the bodily invasion involved in surgery lies well above any </w:t>
      </w:r>
      <w:r w:rsidR="00373AB8">
        <w:t>point at</w:t>
      </w:r>
      <w:r>
        <w:t xml:space="preserve"> which consent </w:t>
      </w:r>
      <w:r w:rsidR="00373AB8">
        <w:t>should</w:t>
      </w:r>
      <w:r>
        <w:t xml:space="preserve"> even arguably be </w:t>
      </w:r>
      <w:r>
        <w:lastRenderedPageBreak/>
        <w:t xml:space="preserve">regarded as furnishing a defence. Why is this so? The answer must in my </w:t>
      </w:r>
      <w:r w:rsidR="00373AB8">
        <w:t>opinion</w:t>
      </w:r>
      <w:r>
        <w:t xml:space="preserve"> be that proper medical </w:t>
      </w:r>
      <w:r w:rsidR="00373AB8">
        <w:t>treatment, for</w:t>
      </w:r>
      <w:r>
        <w:t xml:space="preserve"> which actual or deemed consent is a </w:t>
      </w:r>
      <w:r w:rsidR="00373AB8">
        <w:t>prerequisite</w:t>
      </w:r>
      <w:r>
        <w:t xml:space="preserve"> is in a category of its own.</w:t>
      </w:r>
      <w:r>
        <w:rPr>
          <w:rStyle w:val="EndnoteReference"/>
        </w:rPr>
        <w:endnoteReference w:id="103"/>
      </w:r>
    </w:p>
    <w:p w14:paraId="549B009B" w14:textId="77777777" w:rsidR="007A67E8" w:rsidRPr="003C6AED" w:rsidRDefault="007A67E8" w:rsidP="00A17E09">
      <w:pPr>
        <w:spacing w:after="0" w:line="276" w:lineRule="auto"/>
        <w:ind w:left="720"/>
        <w:jc w:val="both"/>
      </w:pPr>
    </w:p>
    <w:p w14:paraId="0D20894C" w14:textId="7F61EDDD" w:rsidR="00F010AA" w:rsidRDefault="005863C4" w:rsidP="00730922">
      <w:pPr>
        <w:spacing w:after="0" w:line="276" w:lineRule="auto"/>
        <w:jc w:val="both"/>
      </w:pPr>
      <w:r>
        <w:t xml:space="preserve">BM’s defence counsel submitted in the consent argument that the procedures should be accepted as producing results ‘akin to body adornment … widely accepted in British culture and other cultures’, and that </w:t>
      </w:r>
      <w:r w:rsidR="00C83DA1">
        <w:t>customer’s</w:t>
      </w:r>
      <w:r>
        <w:t xml:space="preserve"> autonomy to request and consent to the procedures should be respected.</w:t>
      </w:r>
      <w:r>
        <w:rPr>
          <w:rStyle w:val="EndnoteReference"/>
        </w:rPr>
        <w:endnoteReference w:id="104"/>
      </w:r>
      <w:r>
        <w:t xml:space="preserve"> The prosecutor argued that the procedures carried out by BM were ‘in truth, medical, amounting to cosmetic surgery’. As ‘serious irreversible procedures not warranted medically’ they should be held to be contrary to the criminal law.</w:t>
      </w:r>
      <w:r w:rsidR="00E26FDF">
        <w:rPr>
          <w:rStyle w:val="EndnoteReference"/>
        </w:rPr>
        <w:endnoteReference w:id="105"/>
      </w:r>
    </w:p>
    <w:p w14:paraId="6321870A" w14:textId="53ADB127" w:rsidR="00A0530C" w:rsidRPr="0057074E" w:rsidRDefault="00A0530C" w:rsidP="00730922">
      <w:pPr>
        <w:spacing w:after="0" w:line="276" w:lineRule="auto"/>
        <w:jc w:val="both"/>
      </w:pPr>
    </w:p>
    <w:p w14:paraId="3AAC85D4" w14:textId="77777777" w:rsidR="000039E8" w:rsidRDefault="00DD58AF" w:rsidP="00730922">
      <w:pPr>
        <w:spacing w:after="0" w:line="276" w:lineRule="auto"/>
        <w:jc w:val="both"/>
      </w:pPr>
      <w:r>
        <w:t>The court agreed, saying that it could see ‘no proper analogy between bod</w:t>
      </w:r>
      <w:r w:rsidR="007A67E8">
        <w:t>y</w:t>
      </w:r>
      <w:r>
        <w:t xml:space="preserve"> modification, which involves the removal of parts of the body or mutilation as seen in tongue splitting, and tattooing, piercing or other body adornment’. The court added that what was done for reward was ‘a series of medical procedures performed for no medical reason’.</w:t>
      </w:r>
      <w:r>
        <w:rPr>
          <w:rStyle w:val="EndnoteReference"/>
        </w:rPr>
        <w:endnoteReference w:id="106"/>
      </w:r>
      <w:r w:rsidR="00125AA5">
        <w:t xml:space="preserve">  The case of </w:t>
      </w:r>
      <w:r w:rsidR="00125AA5">
        <w:rPr>
          <w:i/>
          <w:iCs/>
        </w:rPr>
        <w:t>R v Brown</w:t>
      </w:r>
      <w:r w:rsidR="00125AA5">
        <w:rPr>
          <w:rStyle w:val="EndnoteReference"/>
          <w:i/>
          <w:iCs/>
        </w:rPr>
        <w:endnoteReference w:id="107"/>
      </w:r>
      <w:r w:rsidR="005D4508">
        <w:rPr>
          <w:i/>
          <w:iCs/>
        </w:rPr>
        <w:t xml:space="preserve"> </w:t>
      </w:r>
      <w:r w:rsidR="005D4508">
        <w:t>is cited as a touchstone for determining that consent to actual or serious bodily harm is no defence to a prosecution for those crimes.</w:t>
      </w:r>
      <w:r w:rsidR="00FD3D99">
        <w:t xml:space="preserve"> </w:t>
      </w:r>
      <w:r w:rsidR="00FD3D99">
        <w:rPr>
          <w:i/>
          <w:iCs/>
        </w:rPr>
        <w:t xml:space="preserve">R v Brown </w:t>
      </w:r>
      <w:r w:rsidR="00606456">
        <w:t xml:space="preserve">has been subjected to critical analysis, being seen as </w:t>
      </w:r>
      <w:r w:rsidR="00FD3D99">
        <w:t>problematic in that the practices</w:t>
      </w:r>
      <w:r w:rsidR="001871CE">
        <w:t xml:space="preserve"> leading </w:t>
      </w:r>
      <w:r w:rsidR="00FD3D99">
        <w:t>to the charges were sado-masochistic acts carried out by men on one another in neither a garage nor a tattoo parlour</w:t>
      </w:r>
      <w:r w:rsidR="001871CE">
        <w:t>, but a private club</w:t>
      </w:r>
      <w:r w:rsidR="00FD3D99">
        <w:t>.</w:t>
      </w:r>
      <w:r w:rsidR="00DE757A">
        <w:t xml:space="preserve"> The activities included penis piercing and what outsiders might class as anal abuses. However, n</w:t>
      </w:r>
      <w:r w:rsidR="00FD3D99">
        <w:t>one of the men complained and none apparently sought medical treatment.</w:t>
      </w:r>
      <w:r w:rsidR="00606456">
        <w:t xml:space="preserve"> </w:t>
      </w:r>
      <w:r w:rsidR="00DE757A">
        <w:t xml:space="preserve">There appears to be some currency in the critique, for the outcome contrasts with </w:t>
      </w:r>
      <w:r w:rsidR="00DE757A">
        <w:rPr>
          <w:i/>
          <w:iCs/>
        </w:rPr>
        <w:t>R v Wilson</w:t>
      </w:r>
      <w:r w:rsidR="001342AD">
        <w:rPr>
          <w:i/>
          <w:iCs/>
        </w:rPr>
        <w:t>.</w:t>
      </w:r>
      <w:r w:rsidR="00DE757A">
        <w:rPr>
          <w:rStyle w:val="EndnoteReference"/>
          <w:i/>
          <w:iCs/>
        </w:rPr>
        <w:endnoteReference w:id="108"/>
      </w:r>
      <w:r w:rsidR="00327A37">
        <w:t xml:space="preserve"> </w:t>
      </w:r>
      <w:r w:rsidR="006C3007">
        <w:t>There, Mr Wilson carved his initials into his wife’s buttocks. The carving festered, Mrs Wilson sought medical assistance, and the doctor’s concern resulted in police action.</w:t>
      </w:r>
      <w:r w:rsidR="00481119">
        <w:t xml:space="preserve"> However, the prosecution foundered on the proposition that as Mrs Wilson </w:t>
      </w:r>
      <w:r w:rsidR="0059333B">
        <w:t>was said to have</w:t>
      </w:r>
      <w:r w:rsidR="00481119">
        <w:t xml:space="preserve"> consented and the injury was a consequence of a procedure akin to tattooing. </w:t>
      </w:r>
      <w:r w:rsidR="001528EC">
        <w:t xml:space="preserve">This is a poor argument, for apart from anything else Mr Wilson was not a licenced </w:t>
      </w:r>
      <w:proofErr w:type="gramStart"/>
      <w:r w:rsidR="001528EC">
        <w:t>tattooist</w:t>
      </w:r>
      <w:proofErr w:type="gramEnd"/>
      <w:r w:rsidR="001528EC">
        <w:t xml:space="preserve"> and the conduct was not carried out in on licenced premises. Furthermore, cutting with a knife into flesh is hardly comparable to practiced employment of a tattooist’s needle. </w:t>
      </w:r>
      <w:r w:rsidR="0059333B">
        <w:t xml:space="preserve">That the parties were married was added as what might be seen as an afterthought, or could have held a significance in the decision, as well as the proposition that there was (as the court saw it) no sexual imperative present. Further, unlike </w:t>
      </w:r>
      <w:r w:rsidR="0059333B">
        <w:rPr>
          <w:i/>
          <w:iCs/>
        </w:rPr>
        <w:t>R v Brown</w:t>
      </w:r>
      <w:r w:rsidR="0059333B">
        <w:t>, where the potential vulnerability of young men to be inveigled into the sado-masochistic club culture (as the court saw it) was referred to, there was no acknowledgement of the vulnerability of a wife to her husband’s possessory expression of marital ownership.</w:t>
      </w:r>
      <w:r w:rsidR="000039E8">
        <w:t xml:space="preserve"> </w:t>
      </w:r>
    </w:p>
    <w:p w14:paraId="4185A3D6" w14:textId="77777777" w:rsidR="000039E8" w:rsidRDefault="000039E8" w:rsidP="00730922">
      <w:pPr>
        <w:spacing w:after="0" w:line="276" w:lineRule="auto"/>
        <w:jc w:val="both"/>
      </w:pPr>
    </w:p>
    <w:p w14:paraId="3E9807F3" w14:textId="77777777" w:rsidR="00622CBF" w:rsidRDefault="001528EC" w:rsidP="00730922">
      <w:pPr>
        <w:spacing w:after="0" w:line="276" w:lineRule="auto"/>
        <w:jc w:val="both"/>
      </w:pPr>
      <w:r>
        <w:t xml:space="preserve">On the other hand, </w:t>
      </w:r>
      <w:r>
        <w:rPr>
          <w:i/>
          <w:iCs/>
        </w:rPr>
        <w:t xml:space="preserve">R v Emmett </w:t>
      </w:r>
      <w:r>
        <w:t xml:space="preserve">involved </w:t>
      </w:r>
      <w:r w:rsidR="00DB4E10">
        <w:t xml:space="preserve">sadomasochism within </w:t>
      </w:r>
      <w:r>
        <w:t>a heterosexual</w:t>
      </w:r>
      <w:r w:rsidR="0059333B">
        <w:t xml:space="preserve"> (though unlike </w:t>
      </w:r>
      <w:r w:rsidR="0059333B">
        <w:rPr>
          <w:i/>
          <w:iCs/>
        </w:rPr>
        <w:t xml:space="preserve">R </w:t>
      </w:r>
      <w:proofErr w:type="gramStart"/>
      <w:r w:rsidR="0059333B">
        <w:rPr>
          <w:i/>
          <w:iCs/>
        </w:rPr>
        <w:t>v  Wilson</w:t>
      </w:r>
      <w:proofErr w:type="gramEnd"/>
      <w:r w:rsidR="0059333B">
        <w:rPr>
          <w:i/>
          <w:iCs/>
        </w:rPr>
        <w:t xml:space="preserve"> </w:t>
      </w:r>
      <w:r w:rsidR="0059333B">
        <w:t>unmarried)</w:t>
      </w:r>
      <w:r>
        <w:t xml:space="preserve"> relationship</w:t>
      </w:r>
      <w:r w:rsidR="0089307F">
        <w:t>, and Mr Emmett was convicted.</w:t>
      </w:r>
      <w:r>
        <w:t xml:space="preserve"> </w:t>
      </w:r>
      <w:r w:rsidR="0089307F">
        <w:t xml:space="preserve">Perhaps the better approach is to focus on the principle established by </w:t>
      </w:r>
      <w:r w:rsidR="0089307F">
        <w:rPr>
          <w:i/>
          <w:iCs/>
        </w:rPr>
        <w:t>R v Brown</w:t>
      </w:r>
      <w:r w:rsidR="0089307F">
        <w:t xml:space="preserve"> and </w:t>
      </w:r>
      <w:r w:rsidR="0089307F">
        <w:rPr>
          <w:i/>
          <w:iCs/>
        </w:rPr>
        <w:t>R v Emmett</w:t>
      </w:r>
      <w:r w:rsidR="0089307F">
        <w:t xml:space="preserve">, putting </w:t>
      </w:r>
      <w:r w:rsidR="0089307F">
        <w:rPr>
          <w:i/>
          <w:iCs/>
        </w:rPr>
        <w:t xml:space="preserve">R v Wilson </w:t>
      </w:r>
      <w:r w:rsidR="0089307F">
        <w:t>to one side as wrongly decided.</w:t>
      </w:r>
      <w:r w:rsidR="00F64FC2">
        <w:t xml:space="preserve"> </w:t>
      </w:r>
      <w:r w:rsidR="000039E8">
        <w:t xml:space="preserve">This would focus on the policy question of whether the law should deny the relevance of consent to bodily harm where this is carried out for purposes not allied to surgical interventions for reasons of health. This then raised an issue of the level of bodily harm that eliminates consent as an exculpatory factor. </w:t>
      </w:r>
      <w:r w:rsidR="000039E8">
        <w:rPr>
          <w:i/>
          <w:iCs/>
        </w:rPr>
        <w:t xml:space="preserve">R v Donovan </w:t>
      </w:r>
      <w:r w:rsidR="000039E8">
        <w:t xml:space="preserve">is, in this regard, rightly open to challenge, for Mr Donovan was convicted of assault and indecent assault. Both are low on the scale of harm according to existing law. In </w:t>
      </w:r>
      <w:r w:rsidR="000039E8">
        <w:rPr>
          <w:i/>
          <w:iCs/>
        </w:rPr>
        <w:t xml:space="preserve">R v Brown </w:t>
      </w:r>
      <w:r w:rsidR="000039E8">
        <w:t>the level of harm was in issue. Although the majority held that actual bodily harm should not be able to be consented to (leaving medical reasons to one side), in dissent it was said that the level should be set higher. That is, actual bodily harm could be consented to in non-</w:t>
      </w:r>
      <w:r w:rsidR="000039E8">
        <w:lastRenderedPageBreak/>
        <w:t xml:space="preserve">medical circumstances (just as consent is lawful to that level of surgical harm). However, where the level of harm is ‘serious’ or ‘grievous’, consent </w:t>
      </w:r>
      <w:r w:rsidR="005A13E1">
        <w:t>should be irrelevant unless the purpose is health related in the regulated circumstances of hospitals, clinics and surgeries, and qualified and licenced medical or health personnel.</w:t>
      </w:r>
      <w:r w:rsidR="00271864">
        <w:rPr>
          <w:rStyle w:val="EndnoteReference"/>
        </w:rPr>
        <w:endnoteReference w:id="109"/>
      </w:r>
      <w:r w:rsidR="00622CBF">
        <w:t xml:space="preserve"> </w:t>
      </w:r>
      <w:r w:rsidR="00B04B6E">
        <w:t xml:space="preserve">Clearly an argument can be made that as a matter of public policy the law should not countenance consent as a justification for or defence to the infliction of serious or grievous bodily harm in circumstances other than those involving medical measures taken for health reasons. </w:t>
      </w:r>
    </w:p>
    <w:p w14:paraId="69664EBF" w14:textId="77777777" w:rsidR="00622CBF" w:rsidRDefault="00622CBF" w:rsidP="00730922">
      <w:pPr>
        <w:spacing w:after="0" w:line="276" w:lineRule="auto"/>
        <w:jc w:val="both"/>
      </w:pPr>
    </w:p>
    <w:p w14:paraId="360361FF" w14:textId="46072B46" w:rsidR="00730922" w:rsidRPr="0089307F" w:rsidRDefault="00622CBF" w:rsidP="00730922">
      <w:pPr>
        <w:spacing w:after="0" w:line="276" w:lineRule="auto"/>
        <w:jc w:val="both"/>
      </w:pPr>
      <w:r>
        <w:t xml:space="preserve">There is unlikely to be universal agreement of such a policy, however, for it brings into sharp focus the conduct determined by the court to be unlawful in </w:t>
      </w:r>
      <w:r>
        <w:rPr>
          <w:i/>
          <w:iCs/>
        </w:rPr>
        <w:t>Regina v</w:t>
      </w:r>
      <w:r w:rsidRPr="00622CBF">
        <w:rPr>
          <w:i/>
          <w:iCs/>
        </w:rPr>
        <w:t xml:space="preserve"> BM</w:t>
      </w:r>
      <w:r>
        <w:t>. T</w:t>
      </w:r>
      <w:r w:rsidR="00F64FC2" w:rsidRPr="00622CBF">
        <w:t>he</w:t>
      </w:r>
      <w:r w:rsidR="00F64FC2">
        <w:t xml:space="preserve"> issue becomes one of whether as a matter of policy consent can or cannot be a defence to body modifications done for aesthetic reasons (in the eyes of the party requesting them or by reason of group culture). </w:t>
      </w:r>
      <w:r w:rsidR="00662B8C">
        <w:t>Then, if so, should a licencing system</w:t>
      </w:r>
      <w:r w:rsidR="004D1246">
        <w:t xml:space="preserve"> for practitioners of health certificate for premises</w:t>
      </w:r>
      <w:r w:rsidR="00662B8C">
        <w:t xml:space="preserve"> be introduced (as exists in some jurisdictions)</w:t>
      </w:r>
      <w:r w:rsidR="00F31403">
        <w:rPr>
          <w:rStyle w:val="EndnoteReference"/>
        </w:rPr>
        <w:endnoteReference w:id="110"/>
      </w:r>
      <w:r w:rsidR="00662B8C">
        <w:t xml:space="preserve"> for qualified practitioners trained in body arts to carry out these procedures. </w:t>
      </w:r>
      <w:r w:rsidR="004A0BB8">
        <w:t>If body modification practices beyond tattooing and piercing of ears and navels, for example, are to remain unlawful, how does this sit with some of the practices carried out by beauticians, aesthetic surgeons and plastic surgeons which have no discernible or at least immediately obvious health purpose or rationale.</w:t>
      </w:r>
    </w:p>
    <w:p w14:paraId="2FA209E4" w14:textId="76622D44" w:rsidR="007A67E8" w:rsidRDefault="007A67E8" w:rsidP="00730922">
      <w:pPr>
        <w:spacing w:after="0" w:line="276" w:lineRule="auto"/>
        <w:jc w:val="both"/>
      </w:pPr>
    </w:p>
    <w:p w14:paraId="2F6F87CF" w14:textId="6AB41EA9" w:rsidR="007A67E8" w:rsidRDefault="007A67E8" w:rsidP="00730922">
      <w:pPr>
        <w:spacing w:after="0" w:line="276" w:lineRule="auto"/>
        <w:jc w:val="both"/>
      </w:pPr>
      <w:r>
        <w:t>It is here that questions arise a</w:t>
      </w:r>
      <w:r w:rsidR="00127396">
        <w:t xml:space="preserve">s to </w:t>
      </w:r>
      <w:r>
        <w:t xml:space="preserve">the nature and status in law of some of the body modifications being carried out on women in pursuit of beauty. Some onlookers may reel away in revulsion or consternation when a person with a bifurcated tongue comes into view. </w:t>
      </w:r>
      <w:proofErr w:type="gramStart"/>
      <w:r>
        <w:t>Certainly</w:t>
      </w:r>
      <w:proofErr w:type="gramEnd"/>
      <w:r>
        <w:t xml:space="preserve"> it is different from prominently pouting lips, however, these too </w:t>
      </w:r>
      <w:r w:rsidR="00C83DA1">
        <w:t>c</w:t>
      </w:r>
      <w:r>
        <w:t xml:space="preserve">an engender revulsion or consternation. Are false nails, exaggeratedly projecting from </w:t>
      </w:r>
      <w:proofErr w:type="gramStart"/>
      <w:r>
        <w:t>finger tips</w:t>
      </w:r>
      <w:proofErr w:type="gramEnd"/>
      <w:r w:rsidR="00C83DA1">
        <w:t>,</w:t>
      </w:r>
      <w:r>
        <w:t xml:space="preserve"> so distinguishable </w:t>
      </w:r>
      <w:r w:rsidR="009C1E82">
        <w:t xml:space="preserve">from a serpent’s tongue or a missing ear? Are size DD breasts or breasts that appear like two peaches on a washboard to ‘pass’ whilst ‘body modifications’ condemned by the court as breaching the criminal law do not? Critiquing </w:t>
      </w:r>
      <w:r w:rsidR="009C1E82">
        <w:rPr>
          <w:i/>
          <w:iCs/>
        </w:rPr>
        <w:t>Regina v BM</w:t>
      </w:r>
      <w:r w:rsidR="009C1E82">
        <w:t>, Samantha Pegg makes the point that the way the court has sought to delineate what will offend against the criminal law, albeit consented to, and what will not, is unsatisfactory.</w:t>
      </w:r>
      <w:r w:rsidR="009C1E82">
        <w:rPr>
          <w:rStyle w:val="EndnoteReference"/>
        </w:rPr>
        <w:endnoteReference w:id="111"/>
      </w:r>
      <w:r w:rsidR="009C1E82">
        <w:t xml:space="preserve"> </w:t>
      </w:r>
      <w:r w:rsidR="00A40590">
        <w:t xml:space="preserve">That </w:t>
      </w:r>
      <w:proofErr w:type="spellStart"/>
      <w:r w:rsidR="00A40590">
        <w:t>some body</w:t>
      </w:r>
      <w:proofErr w:type="spellEnd"/>
      <w:r w:rsidR="00A40590">
        <w:t xml:space="preserve"> modifications </w:t>
      </w:r>
      <w:r w:rsidR="00810EDD">
        <w:t>lacking m</w:t>
      </w:r>
      <w:r w:rsidR="00A40590">
        <w:t xml:space="preserve">edical value are seen by the court as acceptable because </w:t>
      </w:r>
      <w:r w:rsidR="00810EDD">
        <w:t>of religious endorsement, yet BM’s handiwork is criminalised despite a subculture that accepts it</w:t>
      </w:r>
      <w:r w:rsidR="00C83DA1">
        <w:t>,</w:t>
      </w:r>
      <w:r w:rsidR="00810EDD">
        <w:t xml:space="preserve"> may be open to challenge. </w:t>
      </w:r>
      <w:r w:rsidR="009C1E82">
        <w:t xml:space="preserve">The proposition that BM’s customers may be suffering from body dysmorphia, </w:t>
      </w:r>
      <w:r w:rsidR="00C83DA1">
        <w:t xml:space="preserve">removing </w:t>
      </w:r>
      <w:r w:rsidR="009C1E82">
        <w:t xml:space="preserve">their capacity for full, free consent, sits oddly, when the criminal law does not take that view in the case of extravagant or overstated body modifications conducted by beauticians, plastic </w:t>
      </w:r>
      <w:proofErr w:type="gramStart"/>
      <w:r w:rsidR="009C1E82">
        <w:t>surgeons</w:t>
      </w:r>
      <w:proofErr w:type="gramEnd"/>
      <w:r w:rsidR="009C1E82">
        <w:t xml:space="preserve"> or cosmetic and aesthetic surgeons. </w:t>
      </w:r>
    </w:p>
    <w:p w14:paraId="2715202C" w14:textId="77777777" w:rsidR="00832AA0" w:rsidRDefault="00832AA0" w:rsidP="00730922">
      <w:pPr>
        <w:spacing w:after="0" w:line="276" w:lineRule="auto"/>
        <w:jc w:val="both"/>
      </w:pPr>
    </w:p>
    <w:p w14:paraId="2CE1CDFB" w14:textId="4CAAE407" w:rsidR="005439E5" w:rsidRPr="00127396" w:rsidRDefault="00810EDD" w:rsidP="005439E5">
      <w:pPr>
        <w:spacing w:after="0" w:line="276" w:lineRule="auto"/>
        <w:jc w:val="both"/>
      </w:pPr>
      <w:r>
        <w:t xml:space="preserve">This conundrum of what is acceptable and what not arose recently in three instances where police considered prosecuting plastic surgeons for conducting labia reductions or modifications carried out on women. The question arose whether these procedures should be </w:t>
      </w:r>
      <w:r w:rsidR="0081107B">
        <w:t xml:space="preserve">prosecuted under the Female Genital Mutilation Act </w:t>
      </w:r>
      <w:r w:rsidR="00A9288C">
        <w:t>2003</w:t>
      </w:r>
      <w:r w:rsidR="009928BD">
        <w:t>.</w:t>
      </w:r>
      <w:r w:rsidR="009928BD">
        <w:rPr>
          <w:rStyle w:val="EndnoteReference"/>
        </w:rPr>
        <w:endnoteReference w:id="112"/>
      </w:r>
      <w:r w:rsidR="009D3A2E">
        <w:t xml:space="preserve"> The Act provides that it is an offence to ‘excise, infibulate or otherwise mutilate the whole or any part of a girl’s labia majora, labia minora or </w:t>
      </w:r>
      <w:proofErr w:type="gramStart"/>
      <w:r w:rsidR="009D3A2E">
        <w:t>clitoris’</w:t>
      </w:r>
      <w:proofErr w:type="gramEnd"/>
      <w:r w:rsidR="009D3A2E">
        <w:t xml:space="preserve">. No offence is committed </w:t>
      </w:r>
      <w:r w:rsidR="00C83DA1">
        <w:t xml:space="preserve">if </w:t>
      </w:r>
      <w:r w:rsidR="009D3A2E">
        <w:t>an ‘approved person’ performs a surgical operation on a girl which is necessary for her physical or mental health. Approved persons for the purposes of this provision include registered medical practitioners.</w:t>
      </w:r>
      <w:r w:rsidR="009D3A2E">
        <w:rPr>
          <w:rStyle w:val="EndnoteReference"/>
        </w:rPr>
        <w:endnoteReference w:id="113"/>
      </w:r>
      <w:r w:rsidR="003D7170">
        <w:t xml:space="preserve"> Reactions to this story were mixed. Young activist women from Object were demonstrating in Harley Street against ‘designer vaginas’ and </w:t>
      </w:r>
      <w:proofErr w:type="gramStart"/>
      <w:r w:rsidR="00C83DA1">
        <w:t>protesting against</w:t>
      </w:r>
      <w:proofErr w:type="gramEnd"/>
      <w:r w:rsidR="00C83DA1">
        <w:t xml:space="preserve"> removing naturally grooving hair from </w:t>
      </w:r>
      <w:r w:rsidR="003D7170">
        <w:t xml:space="preserve">women’s pubic areas. </w:t>
      </w:r>
      <w:r w:rsidR="005439E5">
        <w:t xml:space="preserve">Kat Cooke, in ‘Why </w:t>
      </w:r>
      <w:r w:rsidR="0076706C">
        <w:t>is</w:t>
      </w:r>
      <w:r w:rsidR="005439E5">
        <w:t xml:space="preserve"> Labiaplasty </w:t>
      </w:r>
      <w:r w:rsidR="0076706C">
        <w:t>being</w:t>
      </w:r>
      <w:r w:rsidR="005439E5">
        <w:t xml:space="preserve"> compared to FGM</w:t>
      </w:r>
      <w:r w:rsidR="00C83DA1">
        <w:t>?</w:t>
      </w:r>
      <w:r w:rsidR="005439E5">
        <w:t xml:space="preserve">’ quotes </w:t>
      </w:r>
      <w:r w:rsidR="00B0078F">
        <w:t>a</w:t>
      </w:r>
      <w:r w:rsidR="005439E5">
        <w:t xml:space="preserve"> consultant cosmetic and reconstructive surgeon and a consultant plastic surgeon, each of </w:t>
      </w:r>
      <w:r w:rsidR="005439E5">
        <w:lastRenderedPageBreak/>
        <w:t xml:space="preserve">whom </w:t>
      </w:r>
      <w:r w:rsidR="00B0078F">
        <w:t xml:space="preserve">carry out </w:t>
      </w:r>
      <w:r w:rsidR="005439E5">
        <w:t>labiaplasty procedures</w:t>
      </w:r>
      <w:r w:rsidR="00B0078F">
        <w:t xml:space="preserve"> and said patients had </w:t>
      </w:r>
      <w:r w:rsidR="005439E5">
        <w:t xml:space="preserve">the procedure for medical reasons. One said his patients </w:t>
      </w:r>
      <w:r w:rsidR="00B0078F">
        <w:t xml:space="preserve">complained </w:t>
      </w:r>
      <w:r w:rsidR="00C83DA1">
        <w:t xml:space="preserve">about an inability to </w:t>
      </w:r>
      <w:r w:rsidR="005439E5">
        <w:t xml:space="preserve">exercise because ‘the labia is so large’, </w:t>
      </w:r>
      <w:r w:rsidR="00C83DA1">
        <w:t xml:space="preserve">said </w:t>
      </w:r>
      <w:r w:rsidR="00B0078F">
        <w:t xml:space="preserve">they </w:t>
      </w:r>
      <w:r w:rsidR="005439E5">
        <w:t>were restricted in the clothing they could wear and exercise in which they could engage, as well as being unhappy about sexual intimacy</w:t>
      </w:r>
      <w:r w:rsidR="00B0078F">
        <w:t xml:space="preserve">, so wanting the operation. </w:t>
      </w:r>
      <w:r w:rsidR="005439E5">
        <w:t xml:space="preserve">He </w:t>
      </w:r>
      <w:r w:rsidR="00B0078F">
        <w:t xml:space="preserve">would not, he </w:t>
      </w:r>
      <w:r w:rsidR="005439E5">
        <w:t>said ‘operate purely for cosmetic reasons’</w:t>
      </w:r>
      <w:r w:rsidR="00B0078F">
        <w:t>, adding that</w:t>
      </w:r>
      <w:r w:rsidR="005439E5">
        <w:t xml:space="preserve"> a ‘functional component’</w:t>
      </w:r>
      <w:r w:rsidR="00B0078F">
        <w:t xml:space="preserve"> was necessary</w:t>
      </w:r>
      <w:r w:rsidR="005439E5">
        <w:t xml:space="preserve">. The other </w:t>
      </w:r>
      <w:r w:rsidR="00C83DA1">
        <w:t xml:space="preserve">surgeon </w:t>
      </w:r>
      <w:r w:rsidR="005439E5">
        <w:t>said ‘very few’ of his clinic’s patients had the surgery for cosmetic reasons, over 95 per cent</w:t>
      </w:r>
      <w:r w:rsidR="00C83DA1">
        <w:t xml:space="preserve"> doing so </w:t>
      </w:r>
      <w:r w:rsidR="005439E5">
        <w:t xml:space="preserve">‘for physical symptoms or because of psychosexual symptoms’. </w:t>
      </w:r>
      <w:r w:rsidR="00B0078F">
        <w:t>It was ‘very insulting</w:t>
      </w:r>
      <w:r w:rsidR="00C83DA1">
        <w:t>’</w:t>
      </w:r>
      <w:r w:rsidR="00B0078F">
        <w:t xml:space="preserve">, he </w:t>
      </w:r>
      <w:r w:rsidR="00C83DA1">
        <w:t>declared</w:t>
      </w:r>
      <w:r w:rsidR="00B0078F">
        <w:t xml:space="preserve">, </w:t>
      </w:r>
      <w:r w:rsidR="005439E5">
        <w:t xml:space="preserve">for them to be compared to female genital mutilation (FGM) victims ‘taken at a young age to an </w:t>
      </w:r>
      <w:proofErr w:type="gramStart"/>
      <w:r w:rsidR="005439E5">
        <w:t>often unknown</w:t>
      </w:r>
      <w:proofErr w:type="gramEnd"/>
      <w:r w:rsidR="005439E5">
        <w:t xml:space="preserve"> individual’ to have their genitalia ‘completely mutilated’. </w:t>
      </w:r>
      <w:r w:rsidR="00B0078F">
        <w:t xml:space="preserve">Many of those victims attended at his clinic </w:t>
      </w:r>
      <w:r w:rsidR="005439E5">
        <w:t>for reconstructive surgery. Comparing them to women who consented to the procedure was, he said</w:t>
      </w:r>
      <w:r w:rsidR="00B0078F">
        <w:t>,</w:t>
      </w:r>
      <w:r w:rsidR="005439E5">
        <w:t xml:space="preserve"> ‘just degrading’.</w:t>
      </w:r>
      <w:r w:rsidR="00B0078F">
        <w:rPr>
          <w:rStyle w:val="EndnoteReference"/>
        </w:rPr>
        <w:endnoteReference w:id="114"/>
      </w:r>
      <w:r w:rsidR="00127396">
        <w:t xml:space="preserve"> Yet as Camille </w:t>
      </w:r>
      <w:proofErr w:type="spellStart"/>
      <w:r w:rsidR="00127396">
        <w:t>Nurka</w:t>
      </w:r>
      <w:proofErr w:type="spellEnd"/>
      <w:r w:rsidR="00127396">
        <w:t xml:space="preserve"> points out in </w:t>
      </w:r>
      <w:r w:rsidR="00127396">
        <w:rPr>
          <w:i/>
          <w:iCs/>
        </w:rPr>
        <w:t>Female Genital Cosmetic Surgery</w:t>
      </w:r>
      <w:r w:rsidR="00127396">
        <w:t>,</w:t>
      </w:r>
      <w:r w:rsidR="001844C3">
        <w:t xml:space="preserve"> female genital cosmetic surgery ‘refers to a range of surgical procedures that are performed on the vagina and vulva when there is no indication of gynaecological disease’.</w:t>
      </w:r>
      <w:r w:rsidR="001844C3">
        <w:rPr>
          <w:rStyle w:val="EndnoteReference"/>
        </w:rPr>
        <w:endnoteReference w:id="115"/>
      </w:r>
      <w:r w:rsidR="005916A5">
        <w:t xml:space="preserve"> These ‘aesthetic and restorative’ procedures ‘aim to make the genitals look appropriately feminine, to reduce physical and mental discomfort, and to enhance sexual feeling’. Some argue that the reduction of physical and mental discomfort does have a health component, thus making the procedures legitimate in medico-legal terms. This may also be said about the enhancement of sexual feeling: if every human being is entitled to a ‘good’ sex life, then the improvement of this component of human existence can be classed as an improvement to health and healthy living. </w:t>
      </w:r>
      <w:r w:rsidR="007D2AFD">
        <w:t>Where a woman’s genitals have been ravaged through culturally imposed female genital mutilation (FGM) reconstruction could certainly qualify as rightly capable of lawful consent, the operation or procedure being aimed at restoring what ought never to have been removed and denied to any woman.</w:t>
      </w:r>
    </w:p>
    <w:p w14:paraId="518DBA03" w14:textId="7A47BB1A" w:rsidR="009928BD" w:rsidRDefault="009928BD" w:rsidP="00730922">
      <w:pPr>
        <w:spacing w:after="0" w:line="276" w:lineRule="auto"/>
        <w:jc w:val="both"/>
      </w:pPr>
    </w:p>
    <w:p w14:paraId="7B66FD90" w14:textId="44BF0A2A" w:rsidR="00D54236" w:rsidRDefault="009C603D" w:rsidP="002D3C7E">
      <w:pPr>
        <w:pStyle w:val="Heading3"/>
        <w:spacing w:line="276" w:lineRule="auto"/>
        <w:jc w:val="both"/>
        <w:rPr>
          <w:rFonts w:asciiTheme="minorHAnsi" w:hAnsiTheme="minorHAnsi"/>
          <w:sz w:val="22"/>
          <w:szCs w:val="22"/>
        </w:rPr>
      </w:pPr>
      <w:r w:rsidRPr="002D3C7E">
        <w:rPr>
          <w:rFonts w:asciiTheme="minorHAnsi" w:hAnsiTheme="minorHAnsi"/>
          <w:sz w:val="22"/>
          <w:szCs w:val="22"/>
        </w:rPr>
        <w:t>Yet</w:t>
      </w:r>
      <w:r w:rsidR="00D54236">
        <w:rPr>
          <w:rFonts w:asciiTheme="minorHAnsi" w:hAnsiTheme="minorHAnsi"/>
          <w:sz w:val="22"/>
          <w:szCs w:val="22"/>
        </w:rPr>
        <w:t xml:space="preserve"> Camille </w:t>
      </w:r>
      <w:proofErr w:type="spellStart"/>
      <w:r w:rsidR="00D54236">
        <w:rPr>
          <w:rFonts w:asciiTheme="minorHAnsi" w:hAnsiTheme="minorHAnsi"/>
          <w:sz w:val="22"/>
          <w:szCs w:val="22"/>
        </w:rPr>
        <w:t>Nurka’s</w:t>
      </w:r>
      <w:proofErr w:type="spellEnd"/>
      <w:r w:rsidR="00D54236">
        <w:rPr>
          <w:rFonts w:asciiTheme="minorHAnsi" w:hAnsiTheme="minorHAnsi"/>
          <w:sz w:val="22"/>
          <w:szCs w:val="22"/>
        </w:rPr>
        <w:t xml:space="preserve"> assessment, in focusing on the notion that a woman’s genitals must be ‘worked on’ surgically so as to ‘look appropriately feminine’ raises a raft of questions about ‘the male gaze’ and the striving for bodily </w:t>
      </w:r>
      <w:proofErr w:type="gramStart"/>
      <w:r w:rsidR="00D54236">
        <w:rPr>
          <w:rFonts w:asciiTheme="minorHAnsi" w:hAnsiTheme="minorHAnsi"/>
          <w:sz w:val="22"/>
          <w:szCs w:val="22"/>
        </w:rPr>
        <w:t>perfection</w:t>
      </w:r>
      <w:proofErr w:type="gramEnd"/>
      <w:r w:rsidR="00D54236">
        <w:rPr>
          <w:rFonts w:asciiTheme="minorHAnsi" w:hAnsiTheme="minorHAnsi"/>
          <w:sz w:val="22"/>
          <w:szCs w:val="22"/>
        </w:rPr>
        <w:t xml:space="preserve"> which is dictated by external demands, equating plastic manipulation of women’s body parts so as to conform to a false vision of genital flawlessness and bodily excellence or rightness. Women seeking body modifications of the increasingly standard type performed by physicians, surgeons and beauty practitioners often say they simply wish their bodies to be ‘natural’ or ‘normal’. As Camille </w:t>
      </w:r>
      <w:proofErr w:type="spellStart"/>
      <w:r w:rsidR="00D54236">
        <w:rPr>
          <w:rFonts w:asciiTheme="minorHAnsi" w:hAnsiTheme="minorHAnsi"/>
          <w:sz w:val="22"/>
          <w:szCs w:val="22"/>
        </w:rPr>
        <w:t>Nurka</w:t>
      </w:r>
      <w:proofErr w:type="spellEnd"/>
      <w:r w:rsidR="00D54236">
        <w:rPr>
          <w:rFonts w:asciiTheme="minorHAnsi" w:hAnsiTheme="minorHAnsi"/>
          <w:sz w:val="22"/>
          <w:szCs w:val="22"/>
        </w:rPr>
        <w:t xml:space="preserve"> says, claims published in 2007 in the </w:t>
      </w:r>
      <w:r w:rsidR="00D54236">
        <w:rPr>
          <w:rFonts w:asciiTheme="minorHAnsi" w:hAnsiTheme="minorHAnsi"/>
          <w:i/>
          <w:iCs/>
          <w:sz w:val="22"/>
          <w:szCs w:val="22"/>
        </w:rPr>
        <w:t xml:space="preserve">Australian Cosmetic Surgery Magazine </w:t>
      </w:r>
      <w:r w:rsidR="00D54236">
        <w:rPr>
          <w:rFonts w:asciiTheme="minorHAnsi" w:hAnsiTheme="minorHAnsi"/>
          <w:sz w:val="22"/>
          <w:szCs w:val="22"/>
        </w:rPr>
        <w:t>that ‘in the majority of women, the labia minora are covered by the labia majora (outer lips) and are seen only with the legs separated’ are no longer a part of professional discourse.</w:t>
      </w:r>
      <w:r w:rsidR="00D54236">
        <w:rPr>
          <w:rStyle w:val="EndnoteReference"/>
          <w:rFonts w:asciiTheme="minorHAnsi" w:hAnsiTheme="minorHAnsi"/>
          <w:sz w:val="22"/>
          <w:szCs w:val="22"/>
        </w:rPr>
        <w:endnoteReference w:id="116"/>
      </w:r>
      <w:r w:rsidR="008C6E69">
        <w:rPr>
          <w:rFonts w:asciiTheme="minorHAnsi" w:hAnsiTheme="minorHAnsi"/>
          <w:sz w:val="22"/>
          <w:szCs w:val="22"/>
        </w:rPr>
        <w:t xml:space="preserve"> Rather, she says, advertising language now ‘reflects an acknowledgement of genital diversity’. This she attributes to ‘demands from feminist gynaecologists, urologists and psychologists for evidence based claims’.</w:t>
      </w:r>
      <w:r w:rsidR="00133FD9">
        <w:rPr>
          <w:rStyle w:val="EndnoteReference"/>
          <w:rFonts w:asciiTheme="minorHAnsi" w:hAnsiTheme="minorHAnsi"/>
          <w:sz w:val="22"/>
          <w:szCs w:val="22"/>
        </w:rPr>
        <w:endnoteReference w:id="117"/>
      </w:r>
      <w:r w:rsidR="004B0234">
        <w:rPr>
          <w:rFonts w:asciiTheme="minorHAnsi" w:hAnsiTheme="minorHAnsi"/>
          <w:sz w:val="22"/>
          <w:szCs w:val="22"/>
        </w:rPr>
        <w:t xml:space="preserve"> Normal and natural are not what proponents of cosmetic surgery claim, when they seek to impose upon women and women’s bodies conformity to standards set by reference to the images portrayed in Liz Conor’s work on the history of </w:t>
      </w:r>
      <w:r w:rsidR="004B0234">
        <w:rPr>
          <w:rFonts w:asciiTheme="minorHAnsi" w:hAnsiTheme="minorHAnsi"/>
          <w:i/>
          <w:iCs/>
          <w:sz w:val="22"/>
          <w:szCs w:val="22"/>
        </w:rPr>
        <w:t>The Spectacular Modern Woman</w:t>
      </w:r>
      <w:r w:rsidR="004B0234">
        <w:rPr>
          <w:rStyle w:val="EndnoteReference"/>
          <w:rFonts w:asciiTheme="minorHAnsi" w:hAnsiTheme="minorHAnsi"/>
          <w:sz w:val="22"/>
          <w:szCs w:val="22"/>
        </w:rPr>
        <w:endnoteReference w:id="118"/>
      </w:r>
      <w:r w:rsidR="004B0234">
        <w:rPr>
          <w:rFonts w:asciiTheme="minorHAnsi" w:hAnsiTheme="minorHAnsi"/>
          <w:i/>
          <w:iCs/>
          <w:sz w:val="22"/>
          <w:szCs w:val="22"/>
        </w:rPr>
        <w:t xml:space="preserve"> </w:t>
      </w:r>
      <w:r w:rsidR="004B0234">
        <w:rPr>
          <w:rFonts w:asciiTheme="minorHAnsi" w:hAnsiTheme="minorHAnsi"/>
          <w:sz w:val="22"/>
          <w:szCs w:val="22"/>
        </w:rPr>
        <w:t>or 21</w:t>
      </w:r>
      <w:r w:rsidR="004B0234" w:rsidRPr="004B0234">
        <w:rPr>
          <w:rFonts w:asciiTheme="minorHAnsi" w:hAnsiTheme="minorHAnsi"/>
          <w:sz w:val="22"/>
          <w:szCs w:val="22"/>
          <w:vertAlign w:val="superscript"/>
        </w:rPr>
        <w:t>st</w:t>
      </w:r>
      <w:r w:rsidR="004B0234">
        <w:rPr>
          <w:rFonts w:asciiTheme="minorHAnsi" w:hAnsiTheme="minorHAnsi"/>
          <w:sz w:val="22"/>
          <w:szCs w:val="22"/>
        </w:rPr>
        <w:t xml:space="preserve"> century images of celebrities’ bodies photoshopped into an externally imposed orthodoxy of ‘what a woman’s body looks like’ – really meaning ‘what a woman’s body </w:t>
      </w:r>
      <w:r w:rsidR="004B0234">
        <w:rPr>
          <w:rFonts w:asciiTheme="minorHAnsi" w:hAnsiTheme="minorHAnsi"/>
          <w:i/>
          <w:iCs/>
          <w:sz w:val="22"/>
          <w:szCs w:val="22"/>
        </w:rPr>
        <w:t>should</w:t>
      </w:r>
      <w:r w:rsidR="004B0234">
        <w:rPr>
          <w:rFonts w:asciiTheme="minorHAnsi" w:hAnsiTheme="minorHAnsi"/>
          <w:sz w:val="22"/>
          <w:szCs w:val="22"/>
        </w:rPr>
        <w:t xml:space="preserve"> look like’.</w:t>
      </w:r>
    </w:p>
    <w:p w14:paraId="7917EE84" w14:textId="1DC6DE7F" w:rsidR="002D3C7E" w:rsidRDefault="004B0234" w:rsidP="002D3C7E">
      <w:pPr>
        <w:pStyle w:val="Heading3"/>
        <w:spacing w:line="276" w:lineRule="auto"/>
        <w:jc w:val="both"/>
        <w:rPr>
          <w:rStyle w:val="Strong"/>
          <w:rFonts w:asciiTheme="minorHAnsi" w:hAnsiTheme="minorHAnsi"/>
          <w:b w:val="0"/>
          <w:bCs w:val="0"/>
          <w:sz w:val="22"/>
          <w:szCs w:val="22"/>
          <w:lang w:val="en"/>
        </w:rPr>
      </w:pPr>
      <w:r>
        <w:rPr>
          <w:rFonts w:asciiTheme="minorHAnsi" w:hAnsiTheme="minorHAnsi"/>
          <w:sz w:val="22"/>
          <w:szCs w:val="22"/>
        </w:rPr>
        <w:t xml:space="preserve">Hence it </w:t>
      </w:r>
      <w:r w:rsidR="009C603D" w:rsidRPr="002D3C7E">
        <w:rPr>
          <w:rFonts w:asciiTheme="minorHAnsi" w:hAnsiTheme="minorHAnsi"/>
          <w:sz w:val="22"/>
          <w:szCs w:val="22"/>
        </w:rPr>
        <w:t>is difficult to leave aside the criminal law without further reflection. Stories do surface of mothers taking their young daughters to plastic or aesthetic surgeons for breast augmentation and for labia surgery.</w:t>
      </w:r>
      <w:r w:rsidR="009C603D" w:rsidRPr="002D3C7E">
        <w:rPr>
          <w:rStyle w:val="EndnoteReference"/>
          <w:rFonts w:asciiTheme="minorHAnsi" w:hAnsiTheme="minorHAnsi"/>
          <w:sz w:val="22"/>
          <w:szCs w:val="22"/>
        </w:rPr>
        <w:endnoteReference w:id="119"/>
      </w:r>
      <w:r w:rsidR="009C603D" w:rsidRPr="002D3C7E">
        <w:rPr>
          <w:rFonts w:asciiTheme="minorHAnsi" w:hAnsiTheme="minorHAnsi"/>
          <w:sz w:val="22"/>
          <w:szCs w:val="22"/>
        </w:rPr>
        <w:t xml:space="preserve"> Young women’s bodies are only just developing</w:t>
      </w:r>
      <w:r w:rsidR="00564102">
        <w:rPr>
          <w:rFonts w:asciiTheme="minorHAnsi" w:hAnsiTheme="minorHAnsi"/>
          <w:sz w:val="22"/>
          <w:szCs w:val="22"/>
        </w:rPr>
        <w:t>. T</w:t>
      </w:r>
      <w:r w:rsidR="009C603D" w:rsidRPr="002D3C7E">
        <w:rPr>
          <w:rFonts w:asciiTheme="minorHAnsi" w:hAnsiTheme="minorHAnsi"/>
          <w:sz w:val="22"/>
          <w:szCs w:val="22"/>
        </w:rPr>
        <w:t>o interfere with the delicate structure of the breasts when they are the growing stage is questionable.</w:t>
      </w:r>
      <w:r w:rsidR="009C603D" w:rsidRPr="002D3C7E">
        <w:rPr>
          <w:rStyle w:val="EndnoteReference"/>
          <w:rFonts w:asciiTheme="minorHAnsi" w:hAnsiTheme="minorHAnsi"/>
          <w:sz w:val="22"/>
          <w:szCs w:val="22"/>
        </w:rPr>
        <w:endnoteReference w:id="120"/>
      </w:r>
      <w:r w:rsidR="000D3343" w:rsidRPr="002D3C7E">
        <w:rPr>
          <w:rFonts w:asciiTheme="minorHAnsi" w:hAnsiTheme="minorHAnsi"/>
          <w:sz w:val="22"/>
          <w:szCs w:val="22"/>
        </w:rPr>
        <w:t xml:space="preserve"> Surgery can interfere with growth of milk ducts and impair </w:t>
      </w:r>
      <w:r w:rsidR="00564102">
        <w:rPr>
          <w:rFonts w:asciiTheme="minorHAnsi" w:hAnsiTheme="minorHAnsi"/>
          <w:sz w:val="22"/>
          <w:szCs w:val="22"/>
        </w:rPr>
        <w:t xml:space="preserve">breast feeding </w:t>
      </w:r>
      <w:r w:rsidR="000D3343" w:rsidRPr="002D3C7E">
        <w:rPr>
          <w:rFonts w:asciiTheme="minorHAnsi" w:hAnsiTheme="minorHAnsi"/>
          <w:sz w:val="22"/>
          <w:szCs w:val="22"/>
        </w:rPr>
        <w:t xml:space="preserve">capacity as an </w:t>
      </w:r>
      <w:proofErr w:type="gramStart"/>
      <w:r w:rsidR="000D3343" w:rsidRPr="002D3C7E">
        <w:rPr>
          <w:rFonts w:asciiTheme="minorHAnsi" w:hAnsiTheme="minorHAnsi"/>
          <w:sz w:val="22"/>
          <w:szCs w:val="22"/>
        </w:rPr>
        <w:t>adult, or</w:t>
      </w:r>
      <w:proofErr w:type="gramEnd"/>
      <w:r w:rsidR="000D3343" w:rsidRPr="002D3C7E">
        <w:rPr>
          <w:rFonts w:asciiTheme="minorHAnsi" w:hAnsiTheme="minorHAnsi"/>
          <w:sz w:val="22"/>
          <w:szCs w:val="22"/>
        </w:rPr>
        <w:t xml:space="preserve"> impair the </w:t>
      </w:r>
      <w:r w:rsidR="00564102">
        <w:rPr>
          <w:rFonts w:asciiTheme="minorHAnsi" w:hAnsiTheme="minorHAnsi"/>
          <w:sz w:val="22"/>
          <w:szCs w:val="22"/>
        </w:rPr>
        <w:t xml:space="preserve">breasts’ </w:t>
      </w:r>
      <w:r w:rsidR="000D3343" w:rsidRPr="002D3C7E">
        <w:rPr>
          <w:rFonts w:asciiTheme="minorHAnsi" w:hAnsiTheme="minorHAnsi"/>
          <w:sz w:val="22"/>
          <w:szCs w:val="22"/>
        </w:rPr>
        <w:t xml:space="preserve">sexual </w:t>
      </w:r>
      <w:r w:rsidR="000D3343" w:rsidRPr="002D3C7E">
        <w:rPr>
          <w:rFonts w:asciiTheme="minorHAnsi" w:hAnsiTheme="minorHAnsi"/>
          <w:sz w:val="22"/>
          <w:szCs w:val="22"/>
        </w:rPr>
        <w:lastRenderedPageBreak/>
        <w:t>sensitivity. Bad enough if this happens to an adult woman, but for a growing adolescent who needs time to consider her future, interference seems wrong.</w:t>
      </w:r>
      <w:r w:rsidR="002D3C7E" w:rsidRPr="002D3C7E">
        <w:rPr>
          <w:rFonts w:asciiTheme="minorHAnsi" w:hAnsiTheme="minorHAnsi"/>
          <w:sz w:val="22"/>
          <w:szCs w:val="22"/>
        </w:rPr>
        <w:t xml:space="preserve"> This raises questions, too, about capacity to consent. If mothers are consenting for their daughters, this would seem to be encroaching on their autonomy and capacity to make their own decisions. </w:t>
      </w:r>
      <w:r w:rsidR="002D3C7E" w:rsidRPr="002D3C7E">
        <w:rPr>
          <w:rStyle w:val="Strong"/>
          <w:rFonts w:asciiTheme="minorHAnsi" w:hAnsiTheme="minorHAnsi"/>
          <w:b w:val="0"/>
          <w:bCs w:val="0"/>
          <w:sz w:val="22"/>
          <w:szCs w:val="22"/>
          <w:lang w:val="en"/>
        </w:rPr>
        <w:t xml:space="preserve">In </w:t>
      </w:r>
      <w:r w:rsidR="002D3C7E" w:rsidRPr="002D3C7E">
        <w:rPr>
          <w:rStyle w:val="Strong"/>
          <w:rFonts w:asciiTheme="minorHAnsi" w:hAnsiTheme="minorHAnsi"/>
          <w:b w:val="0"/>
          <w:bCs w:val="0"/>
          <w:i/>
          <w:iCs/>
          <w:sz w:val="22"/>
          <w:szCs w:val="22"/>
          <w:lang w:val="en"/>
        </w:rPr>
        <w:t>Gillick v. West Norfolk and Wisbech Health Authority</w:t>
      </w:r>
      <w:r w:rsidR="002D3C7E" w:rsidRPr="002D3C7E">
        <w:rPr>
          <w:rStyle w:val="EndnoteReference"/>
          <w:rFonts w:asciiTheme="minorHAnsi" w:hAnsiTheme="minorHAnsi"/>
          <w:sz w:val="22"/>
          <w:szCs w:val="22"/>
          <w:lang w:val="en"/>
        </w:rPr>
        <w:endnoteReference w:id="121"/>
      </w:r>
      <w:r w:rsidR="002D3C7E" w:rsidRPr="002D3C7E">
        <w:rPr>
          <w:rStyle w:val="Strong"/>
          <w:rFonts w:asciiTheme="minorHAnsi" w:hAnsiTheme="minorHAnsi"/>
          <w:b w:val="0"/>
          <w:bCs w:val="0"/>
          <w:sz w:val="22"/>
          <w:szCs w:val="22"/>
          <w:lang w:val="en"/>
        </w:rPr>
        <w:t xml:space="preserve"> it was held that consent for medical treatment where the subject is a child lies with the parents, except that </w:t>
      </w:r>
      <w:proofErr w:type="gramStart"/>
      <w:r w:rsidR="002D3C7E" w:rsidRPr="002D3C7E">
        <w:rPr>
          <w:rStyle w:val="Strong"/>
          <w:rFonts w:asciiTheme="minorHAnsi" w:hAnsiTheme="minorHAnsi"/>
          <w:b w:val="0"/>
          <w:bCs w:val="0"/>
          <w:sz w:val="22"/>
          <w:szCs w:val="22"/>
          <w:lang w:val="en"/>
        </w:rPr>
        <w:t>if and when</w:t>
      </w:r>
      <w:proofErr w:type="gramEnd"/>
      <w:r w:rsidR="002D3C7E" w:rsidRPr="002D3C7E">
        <w:rPr>
          <w:rStyle w:val="Strong"/>
          <w:rFonts w:asciiTheme="minorHAnsi" w:hAnsiTheme="minorHAnsi"/>
          <w:b w:val="0"/>
          <w:bCs w:val="0"/>
          <w:sz w:val="22"/>
          <w:szCs w:val="22"/>
          <w:lang w:val="en"/>
        </w:rPr>
        <w:t xml:space="preserve"> the child achieves a significant understanding and intelligence to enable him or her to understand fully what is proposed, then the child has the right to consent. This is a determination to be made on the facts of the individual case and with medical treatment it is the doctor who, generally, makes the assessment</w:t>
      </w:r>
      <w:r w:rsidR="002D3C7E">
        <w:rPr>
          <w:rStyle w:val="Strong"/>
          <w:rFonts w:asciiTheme="minorHAnsi" w:hAnsiTheme="minorHAnsi"/>
          <w:b w:val="0"/>
          <w:bCs w:val="0"/>
          <w:sz w:val="22"/>
          <w:szCs w:val="22"/>
          <w:lang w:val="en"/>
        </w:rPr>
        <w:t xml:space="preserve">. Additionally, s. </w:t>
      </w:r>
      <w:r w:rsidR="00A7301B">
        <w:rPr>
          <w:rStyle w:val="Strong"/>
          <w:rFonts w:asciiTheme="minorHAnsi" w:hAnsiTheme="minorHAnsi"/>
          <w:b w:val="0"/>
          <w:bCs w:val="0"/>
          <w:sz w:val="22"/>
          <w:szCs w:val="22"/>
          <w:lang w:val="en"/>
        </w:rPr>
        <w:t xml:space="preserve">8(1) of the Family Law Reform Act 1969 gives a minor of 16-18 years powers of consent to medical and surgical treatment equivalent to those of an adult. Cosmetic surgery where minors are the subject raises </w:t>
      </w:r>
      <w:proofErr w:type="gramStart"/>
      <w:r w:rsidR="00A7301B">
        <w:rPr>
          <w:rStyle w:val="Strong"/>
          <w:rFonts w:asciiTheme="minorHAnsi" w:hAnsiTheme="minorHAnsi"/>
          <w:b w:val="0"/>
          <w:bCs w:val="0"/>
          <w:sz w:val="22"/>
          <w:szCs w:val="22"/>
          <w:lang w:val="en"/>
        </w:rPr>
        <w:t>particular issues</w:t>
      </w:r>
      <w:proofErr w:type="gramEnd"/>
      <w:r w:rsidR="00A7301B">
        <w:rPr>
          <w:rStyle w:val="Strong"/>
          <w:rFonts w:asciiTheme="minorHAnsi" w:hAnsiTheme="minorHAnsi"/>
          <w:b w:val="0"/>
          <w:bCs w:val="0"/>
          <w:sz w:val="22"/>
          <w:szCs w:val="22"/>
          <w:lang w:val="en"/>
        </w:rPr>
        <w:t xml:space="preserve">, however. As was observed in </w:t>
      </w:r>
      <w:r w:rsidR="00A7301B">
        <w:rPr>
          <w:rStyle w:val="Strong"/>
          <w:rFonts w:asciiTheme="minorHAnsi" w:hAnsiTheme="minorHAnsi"/>
          <w:b w:val="0"/>
          <w:bCs w:val="0"/>
          <w:i/>
          <w:iCs/>
          <w:sz w:val="22"/>
          <w:szCs w:val="22"/>
          <w:lang w:val="en"/>
        </w:rPr>
        <w:t>Regina v BM</w:t>
      </w:r>
      <w:r w:rsidR="00A7301B">
        <w:rPr>
          <w:rStyle w:val="Strong"/>
          <w:rFonts w:asciiTheme="minorHAnsi" w:hAnsiTheme="minorHAnsi"/>
          <w:b w:val="0"/>
          <w:bCs w:val="0"/>
          <w:sz w:val="22"/>
          <w:szCs w:val="22"/>
          <w:lang w:val="en"/>
        </w:rPr>
        <w:t>, restrictions on minors’ capacity exist in various circumstances. Tattooing is one of them, restricted by the Tattooing of Minors Act 1969.</w:t>
      </w:r>
      <w:r w:rsidR="00564102">
        <w:rPr>
          <w:rStyle w:val="Strong"/>
          <w:rFonts w:asciiTheme="minorHAnsi" w:hAnsiTheme="minorHAnsi"/>
          <w:b w:val="0"/>
          <w:bCs w:val="0"/>
          <w:sz w:val="22"/>
          <w:szCs w:val="22"/>
          <w:lang w:val="en"/>
        </w:rPr>
        <w:t xml:space="preserve"> Should such limits apply to cosmetic surgery?</w:t>
      </w:r>
    </w:p>
    <w:p w14:paraId="2E968AD6" w14:textId="1351D469" w:rsidR="00A7301B" w:rsidRDefault="00A7301B" w:rsidP="002D3C7E">
      <w:pPr>
        <w:pStyle w:val="Heading3"/>
        <w:spacing w:line="276" w:lineRule="auto"/>
        <w:jc w:val="both"/>
        <w:rPr>
          <w:rStyle w:val="Strong"/>
          <w:rFonts w:asciiTheme="minorHAnsi" w:hAnsiTheme="minorHAnsi"/>
          <w:b w:val="0"/>
          <w:bCs w:val="0"/>
          <w:sz w:val="22"/>
          <w:szCs w:val="22"/>
          <w:lang w:val="en"/>
        </w:rPr>
      </w:pPr>
      <w:r>
        <w:rPr>
          <w:rStyle w:val="Strong"/>
          <w:rFonts w:asciiTheme="minorHAnsi" w:hAnsiTheme="minorHAnsi"/>
          <w:b w:val="0"/>
          <w:bCs w:val="0"/>
          <w:sz w:val="22"/>
          <w:szCs w:val="22"/>
          <w:lang w:val="en"/>
        </w:rPr>
        <w:t xml:space="preserve">Recognition of body dysmorphia also requires consideration, even if only in reflection. </w:t>
      </w:r>
      <w:r>
        <w:rPr>
          <w:rStyle w:val="Strong"/>
          <w:rFonts w:asciiTheme="minorHAnsi" w:hAnsiTheme="minorHAnsi"/>
          <w:b w:val="0"/>
          <w:bCs w:val="0"/>
          <w:i/>
          <w:iCs/>
          <w:sz w:val="22"/>
          <w:szCs w:val="22"/>
          <w:lang w:val="en"/>
        </w:rPr>
        <w:t xml:space="preserve">Regina v </w:t>
      </w:r>
      <w:r w:rsidR="0076706C">
        <w:rPr>
          <w:rStyle w:val="Strong"/>
          <w:rFonts w:asciiTheme="minorHAnsi" w:hAnsiTheme="minorHAnsi"/>
          <w:b w:val="0"/>
          <w:bCs w:val="0"/>
          <w:i/>
          <w:iCs/>
          <w:sz w:val="22"/>
          <w:szCs w:val="22"/>
          <w:lang w:val="en"/>
        </w:rPr>
        <w:t xml:space="preserve">BM </w:t>
      </w:r>
      <w:r w:rsidR="0076706C">
        <w:rPr>
          <w:rStyle w:val="Strong"/>
          <w:rFonts w:asciiTheme="minorHAnsi" w:hAnsiTheme="minorHAnsi"/>
          <w:b w:val="0"/>
          <w:bCs w:val="0"/>
          <w:sz w:val="22"/>
          <w:szCs w:val="22"/>
          <w:lang w:val="en"/>
        </w:rPr>
        <w:t>saw</w:t>
      </w:r>
      <w:r>
        <w:rPr>
          <w:rStyle w:val="Strong"/>
          <w:rFonts w:asciiTheme="minorHAnsi" w:hAnsiTheme="minorHAnsi"/>
          <w:b w:val="0"/>
          <w:bCs w:val="0"/>
          <w:sz w:val="22"/>
          <w:szCs w:val="22"/>
          <w:lang w:val="en"/>
        </w:rPr>
        <w:t xml:space="preserve"> it as a possibility with the three procedures there in question: bifurcated tongue, outer ear remov</w:t>
      </w:r>
      <w:r w:rsidR="00564102">
        <w:rPr>
          <w:rStyle w:val="Strong"/>
          <w:rFonts w:asciiTheme="minorHAnsi" w:hAnsiTheme="minorHAnsi"/>
          <w:b w:val="0"/>
          <w:bCs w:val="0"/>
          <w:sz w:val="22"/>
          <w:szCs w:val="22"/>
          <w:lang w:val="en"/>
        </w:rPr>
        <w:t>al</w:t>
      </w:r>
      <w:r>
        <w:rPr>
          <w:rStyle w:val="Strong"/>
          <w:rFonts w:asciiTheme="minorHAnsi" w:hAnsiTheme="minorHAnsi"/>
          <w:b w:val="0"/>
          <w:bCs w:val="0"/>
          <w:sz w:val="22"/>
          <w:szCs w:val="22"/>
          <w:lang w:val="en"/>
        </w:rPr>
        <w:t xml:space="preserve">, and removal of a nipple. Susie Orbach </w:t>
      </w:r>
      <w:r w:rsidR="00564102">
        <w:rPr>
          <w:rStyle w:val="Strong"/>
          <w:rFonts w:asciiTheme="minorHAnsi" w:hAnsiTheme="minorHAnsi"/>
          <w:b w:val="0"/>
          <w:bCs w:val="0"/>
          <w:sz w:val="22"/>
          <w:szCs w:val="22"/>
          <w:lang w:val="en"/>
        </w:rPr>
        <w:t>speculates on</w:t>
      </w:r>
      <w:r>
        <w:rPr>
          <w:rStyle w:val="Strong"/>
          <w:rFonts w:asciiTheme="minorHAnsi" w:hAnsiTheme="minorHAnsi"/>
          <w:b w:val="0"/>
          <w:bCs w:val="0"/>
          <w:sz w:val="22"/>
          <w:szCs w:val="22"/>
          <w:lang w:val="en"/>
        </w:rPr>
        <w:t xml:space="preserve"> the </w:t>
      </w:r>
      <w:r w:rsidR="00564102">
        <w:rPr>
          <w:rStyle w:val="Strong"/>
          <w:rFonts w:asciiTheme="minorHAnsi" w:hAnsiTheme="minorHAnsi"/>
          <w:b w:val="0"/>
          <w:bCs w:val="0"/>
          <w:sz w:val="22"/>
          <w:szCs w:val="22"/>
          <w:lang w:val="en"/>
        </w:rPr>
        <w:t xml:space="preserve">dysmorphia </w:t>
      </w:r>
      <w:r>
        <w:rPr>
          <w:rStyle w:val="Strong"/>
          <w:rFonts w:asciiTheme="minorHAnsi" w:hAnsiTheme="minorHAnsi"/>
          <w:b w:val="0"/>
          <w:bCs w:val="0"/>
          <w:sz w:val="22"/>
          <w:szCs w:val="22"/>
          <w:lang w:val="en"/>
        </w:rPr>
        <w:t xml:space="preserve">phenomenon in </w:t>
      </w:r>
      <w:r w:rsidRPr="00A7301B">
        <w:rPr>
          <w:rStyle w:val="Strong"/>
          <w:rFonts w:asciiTheme="minorHAnsi" w:hAnsiTheme="minorHAnsi"/>
          <w:b w:val="0"/>
          <w:bCs w:val="0"/>
          <w:i/>
          <w:iCs/>
          <w:sz w:val="22"/>
          <w:szCs w:val="22"/>
          <w:lang w:val="en"/>
        </w:rPr>
        <w:t>Bodies</w:t>
      </w:r>
      <w:r w:rsidR="00564102">
        <w:rPr>
          <w:rStyle w:val="Strong"/>
          <w:rFonts w:asciiTheme="minorHAnsi" w:hAnsiTheme="minorHAnsi"/>
          <w:b w:val="0"/>
          <w:bCs w:val="0"/>
          <w:i/>
          <w:iCs/>
          <w:sz w:val="22"/>
          <w:szCs w:val="22"/>
          <w:lang w:val="en"/>
        </w:rPr>
        <w:t>,</w:t>
      </w:r>
      <w:r>
        <w:rPr>
          <w:rStyle w:val="EndnoteReference"/>
          <w:rFonts w:asciiTheme="minorHAnsi" w:hAnsiTheme="minorHAnsi"/>
          <w:sz w:val="22"/>
          <w:szCs w:val="22"/>
          <w:lang w:val="en"/>
        </w:rPr>
        <w:endnoteReference w:id="122"/>
      </w:r>
      <w:r>
        <w:rPr>
          <w:rStyle w:val="Strong"/>
          <w:rFonts w:asciiTheme="minorHAnsi" w:hAnsiTheme="minorHAnsi"/>
          <w:b w:val="0"/>
          <w:bCs w:val="0"/>
          <w:sz w:val="22"/>
          <w:szCs w:val="22"/>
          <w:lang w:val="en"/>
        </w:rPr>
        <w:t xml:space="preserve"> </w:t>
      </w:r>
      <w:r w:rsidR="00564102">
        <w:rPr>
          <w:rStyle w:val="Strong"/>
          <w:rFonts w:asciiTheme="minorHAnsi" w:hAnsiTheme="minorHAnsi"/>
          <w:b w:val="0"/>
          <w:bCs w:val="0"/>
          <w:sz w:val="22"/>
          <w:szCs w:val="22"/>
          <w:lang w:val="en"/>
        </w:rPr>
        <w:t xml:space="preserve">yet labelling </w:t>
      </w:r>
      <w:r>
        <w:rPr>
          <w:rStyle w:val="Strong"/>
          <w:rFonts w:asciiTheme="minorHAnsi" w:hAnsiTheme="minorHAnsi"/>
          <w:b w:val="0"/>
          <w:bCs w:val="0"/>
          <w:sz w:val="22"/>
          <w:szCs w:val="22"/>
          <w:lang w:val="en"/>
        </w:rPr>
        <w:t xml:space="preserve">women </w:t>
      </w:r>
      <w:r w:rsidR="00564102">
        <w:rPr>
          <w:rStyle w:val="Strong"/>
          <w:rFonts w:asciiTheme="minorHAnsi" w:hAnsiTheme="minorHAnsi"/>
          <w:b w:val="0"/>
          <w:bCs w:val="0"/>
          <w:sz w:val="22"/>
          <w:szCs w:val="22"/>
          <w:lang w:val="en"/>
        </w:rPr>
        <w:t xml:space="preserve">attending </w:t>
      </w:r>
      <w:r w:rsidR="00331E61">
        <w:rPr>
          <w:rStyle w:val="Strong"/>
          <w:rFonts w:asciiTheme="minorHAnsi" w:hAnsiTheme="minorHAnsi"/>
          <w:b w:val="0"/>
          <w:bCs w:val="0"/>
          <w:sz w:val="22"/>
          <w:szCs w:val="22"/>
          <w:lang w:val="en"/>
        </w:rPr>
        <w:t>the wide range of professionals now ready with body changing procedures and amateurs setting up as body beauty makers</w:t>
      </w:r>
      <w:r w:rsidR="00564102">
        <w:rPr>
          <w:rStyle w:val="Strong"/>
          <w:rFonts w:asciiTheme="minorHAnsi" w:hAnsiTheme="minorHAnsi"/>
          <w:b w:val="0"/>
          <w:bCs w:val="0"/>
          <w:sz w:val="22"/>
          <w:szCs w:val="22"/>
          <w:lang w:val="en"/>
        </w:rPr>
        <w:t>,</w:t>
      </w:r>
      <w:r w:rsidR="00331E61">
        <w:rPr>
          <w:rStyle w:val="Strong"/>
          <w:rFonts w:asciiTheme="minorHAnsi" w:hAnsiTheme="minorHAnsi"/>
          <w:b w:val="0"/>
          <w:bCs w:val="0"/>
          <w:sz w:val="22"/>
          <w:szCs w:val="22"/>
          <w:lang w:val="en"/>
        </w:rPr>
        <w:t xml:space="preserve"> as dysmorphic is simply to label them all over again, when they are seeking to escape from the strictures of a world where women remain lower paid, continue to be clustered in traditional women’s fields, are less represented in political and legal institutions, and while present in educational institutions in more proportionate numbers, still occupy the lower rungs. </w:t>
      </w:r>
      <w:r w:rsidR="006B035B">
        <w:rPr>
          <w:rStyle w:val="Strong"/>
          <w:rFonts w:asciiTheme="minorHAnsi" w:hAnsiTheme="minorHAnsi"/>
          <w:b w:val="0"/>
          <w:bCs w:val="0"/>
          <w:sz w:val="22"/>
          <w:szCs w:val="22"/>
          <w:lang w:val="en"/>
        </w:rPr>
        <w:t>At the same time, the desperation women must experience deep down, in seeking to have their bodies made over</w:t>
      </w:r>
      <w:r w:rsidR="00564102">
        <w:rPr>
          <w:rStyle w:val="Strong"/>
          <w:rFonts w:asciiTheme="minorHAnsi" w:hAnsiTheme="minorHAnsi"/>
          <w:b w:val="0"/>
          <w:bCs w:val="0"/>
          <w:sz w:val="22"/>
          <w:szCs w:val="22"/>
          <w:lang w:val="en"/>
        </w:rPr>
        <w:t xml:space="preserve"> so invasively</w:t>
      </w:r>
      <w:r w:rsidR="006B035B">
        <w:rPr>
          <w:rStyle w:val="Strong"/>
          <w:rFonts w:asciiTheme="minorHAnsi" w:hAnsiTheme="minorHAnsi"/>
          <w:b w:val="0"/>
          <w:bCs w:val="0"/>
          <w:sz w:val="22"/>
          <w:szCs w:val="22"/>
          <w:lang w:val="en"/>
        </w:rPr>
        <w:t xml:space="preserve">, </w:t>
      </w:r>
      <w:r w:rsidR="00564102">
        <w:rPr>
          <w:rStyle w:val="Strong"/>
          <w:rFonts w:asciiTheme="minorHAnsi" w:hAnsiTheme="minorHAnsi"/>
          <w:b w:val="0"/>
          <w:bCs w:val="0"/>
          <w:sz w:val="22"/>
          <w:szCs w:val="22"/>
          <w:lang w:val="en"/>
        </w:rPr>
        <w:t>surely i</w:t>
      </w:r>
      <w:r w:rsidR="006B035B">
        <w:rPr>
          <w:rStyle w:val="Strong"/>
          <w:rFonts w:asciiTheme="minorHAnsi" w:hAnsiTheme="minorHAnsi"/>
          <w:b w:val="0"/>
          <w:bCs w:val="0"/>
          <w:sz w:val="22"/>
          <w:szCs w:val="22"/>
          <w:lang w:val="en"/>
        </w:rPr>
        <w:t xml:space="preserve">s counterproductive. To be so unhappy with one’s body that radical surgery is seen as the answer, when ultimately the same woman is inside demanding recognition as a whole woman without the intervention of </w:t>
      </w:r>
      <w:r w:rsidR="0076706C">
        <w:rPr>
          <w:rStyle w:val="Strong"/>
          <w:rFonts w:asciiTheme="minorHAnsi" w:hAnsiTheme="minorHAnsi"/>
          <w:b w:val="0"/>
          <w:bCs w:val="0"/>
          <w:sz w:val="22"/>
          <w:szCs w:val="22"/>
          <w:lang w:val="en"/>
        </w:rPr>
        <w:t>body shapers</w:t>
      </w:r>
      <w:r w:rsidR="006B035B">
        <w:rPr>
          <w:rStyle w:val="Strong"/>
          <w:rFonts w:asciiTheme="minorHAnsi" w:hAnsiTheme="minorHAnsi"/>
          <w:b w:val="0"/>
          <w:bCs w:val="0"/>
          <w:sz w:val="22"/>
          <w:szCs w:val="22"/>
          <w:lang w:val="en"/>
        </w:rPr>
        <w:t>, demands attention. Or to be so determined to improve oneself, that altering one’s body is pursued as the solution seems counterintuitive.</w:t>
      </w:r>
    </w:p>
    <w:p w14:paraId="50195A0F" w14:textId="39D01C8A" w:rsidR="006B035B" w:rsidRDefault="006B035B" w:rsidP="00564102">
      <w:pPr>
        <w:spacing w:line="276" w:lineRule="auto"/>
        <w:jc w:val="both"/>
      </w:pPr>
      <w:r>
        <w:t>Neither civil law nor criminal law have been kind to women. Almost one hundred years ago, for the first time, a common law court acknowledged women as persons.</w:t>
      </w:r>
      <w:r>
        <w:rPr>
          <w:rStyle w:val="EndnoteReference"/>
        </w:rPr>
        <w:endnoteReference w:id="123"/>
      </w:r>
      <w:r w:rsidR="007B533F">
        <w:t xml:space="preserve"> Not being recognised in law as persons </w:t>
      </w:r>
      <w:r w:rsidR="00C71A84">
        <w:t xml:space="preserve">had </w:t>
      </w:r>
      <w:r w:rsidR="007B533F">
        <w:t xml:space="preserve">deprived women of identity, economic independence, political representation, </w:t>
      </w:r>
      <w:r w:rsidR="009F198F">
        <w:t xml:space="preserve">and </w:t>
      </w:r>
      <w:r w:rsidR="007B533F">
        <w:t>legal status. Women were classed together with children and persons lacking mental capacity. Our bodies existed, yet our minds were denied. Today, the body shaping industry relentlessly drives women back into a space where our bodies are not ourselves</w:t>
      </w:r>
      <w:r w:rsidR="009F198F">
        <w:t>. W</w:t>
      </w:r>
      <w:r w:rsidR="00C71A84">
        <w:t>omen</w:t>
      </w:r>
      <w:r w:rsidR="007B533F">
        <w:t xml:space="preserve"> are being distanced from our bodies as if they </w:t>
      </w:r>
      <w:r w:rsidR="006C06E1">
        <w:t>we</w:t>
      </w:r>
      <w:r w:rsidR="007B533F">
        <w:t xml:space="preserve">re a palette to be drawn upon, a clay to be moulded into what is projected as the perfect woman. Yet physical perfection is always out of </w:t>
      </w:r>
      <w:proofErr w:type="gramStart"/>
      <w:r w:rsidR="007B533F">
        <w:t>reach, because</w:t>
      </w:r>
      <w:proofErr w:type="gramEnd"/>
      <w:r w:rsidR="007B533F">
        <w:t xml:space="preserve"> there is always a new product, a new procedure, a new shape to be pursued. Women’s bodies are sites of manipulation into conformity with a shape that is dictated from outside</w:t>
      </w:r>
      <w:r w:rsidR="0076706C">
        <w:t xml:space="preserve"> </w:t>
      </w:r>
      <w:proofErr w:type="gramStart"/>
      <w:r w:rsidR="0076706C">
        <w:t>ourselves</w:t>
      </w:r>
      <w:proofErr w:type="gramEnd"/>
      <w:r w:rsidR="0076706C">
        <w:t>.</w:t>
      </w:r>
      <w:r w:rsidR="007B533F">
        <w:t xml:space="preserve"> Historical treatises on body-changing illustrate how women’s bodies have ever been controlled, with race and physical superiority </w:t>
      </w:r>
      <w:r w:rsidR="009F198F">
        <w:t>related to class and criminality, intimately linked to surgical and like interventions, including tanning, or skin whitening, puffing up our bosoms or toning them down, grasping after larger bottoms, or hankering after boyish hips. When women’s condition is considered, on every level consent is in issue. With the bodily intrusions now being forced upon us by an ever-growing multi-</w:t>
      </w:r>
      <w:r w:rsidR="0076706C">
        <w:t>million-dollar</w:t>
      </w:r>
      <w:r w:rsidR="009F198F">
        <w:t xml:space="preserve"> industry designed </w:t>
      </w:r>
      <w:r w:rsidR="009F198F">
        <w:lastRenderedPageBreak/>
        <w:t xml:space="preserve">to falsify women’s bodies, women confront yet again the mind-body separation, our bodies being </w:t>
      </w:r>
      <w:r w:rsidR="0076706C">
        <w:t xml:space="preserve">forced upon us centre stage, </w:t>
      </w:r>
      <w:r w:rsidR="009F198F">
        <w:t>the central focus of our lives</w:t>
      </w:r>
      <w:r w:rsidR="00C71A84">
        <w:t xml:space="preserve"> and denying our humanity as whole human beings</w:t>
      </w:r>
      <w:r w:rsidR="009F198F">
        <w:t>.</w:t>
      </w:r>
      <w:r w:rsidR="00C71A84">
        <w:t xml:space="preserve"> From our heads to our toes, from our collar bones to our </w:t>
      </w:r>
      <w:proofErr w:type="gramStart"/>
      <w:r w:rsidR="00C71A84">
        <w:t>finger tips</w:t>
      </w:r>
      <w:proofErr w:type="gramEnd"/>
      <w:r w:rsidR="00C71A84">
        <w:t xml:space="preserve">, from the crowns of our heads to the intimacy of our vulva, women’s bodies are sites to be shaped by forces outside our control. </w:t>
      </w:r>
    </w:p>
    <w:p w14:paraId="376C50A8" w14:textId="515F1B97" w:rsidR="00234F52" w:rsidRPr="00D404BC" w:rsidRDefault="00234F52" w:rsidP="009725B9">
      <w:pPr>
        <w:jc w:val="both"/>
      </w:pPr>
    </w:p>
    <w:sectPr w:rsidR="00234F52" w:rsidRPr="00D404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3581" w14:textId="77777777" w:rsidR="00981D94" w:rsidRDefault="00981D94" w:rsidP="003F747D">
      <w:pPr>
        <w:spacing w:after="0" w:line="240" w:lineRule="auto"/>
      </w:pPr>
      <w:r>
        <w:separator/>
      </w:r>
    </w:p>
  </w:endnote>
  <w:endnote w:type="continuationSeparator" w:id="0">
    <w:p w14:paraId="7F9CEEA6" w14:textId="77777777" w:rsidR="00981D94" w:rsidRDefault="00981D94" w:rsidP="003F747D">
      <w:pPr>
        <w:spacing w:after="0" w:line="240" w:lineRule="auto"/>
      </w:pPr>
      <w:r>
        <w:continuationSeparator/>
      </w:r>
    </w:p>
  </w:endnote>
  <w:endnote w:id="1">
    <w:p w14:paraId="66C3C4E6" w14:textId="10D76AE3" w:rsidR="00981D94" w:rsidRPr="00132ADA" w:rsidRDefault="00981D94" w:rsidP="00514CC3">
      <w:pPr>
        <w:shd w:val="clear" w:color="auto" w:fill="FFFFFF"/>
        <w:spacing w:after="0" w:line="240" w:lineRule="auto"/>
        <w:jc w:val="both"/>
        <w:rPr>
          <w:sz w:val="20"/>
          <w:szCs w:val="20"/>
        </w:rPr>
      </w:pPr>
      <w:r w:rsidRPr="00132ADA">
        <w:rPr>
          <w:rStyle w:val="EndnoteReference"/>
          <w:sz w:val="20"/>
          <w:szCs w:val="20"/>
        </w:rPr>
        <w:endnoteRef/>
      </w:r>
      <w:r w:rsidRPr="00132ADA">
        <w:rPr>
          <w:sz w:val="20"/>
          <w:szCs w:val="20"/>
        </w:rPr>
        <w:t xml:space="preserve"> Luke Malone, ‘Makeup: the key to success?’ </w:t>
      </w:r>
      <w:r w:rsidRPr="00132ADA">
        <w:rPr>
          <w:i/>
          <w:iCs/>
          <w:sz w:val="20"/>
          <w:szCs w:val="20"/>
        </w:rPr>
        <w:t>Sydney Morning Herald</w:t>
      </w:r>
      <w:r w:rsidRPr="00132ADA">
        <w:rPr>
          <w:sz w:val="20"/>
          <w:szCs w:val="20"/>
        </w:rPr>
        <w:t xml:space="preserve">, 26 October 2011, </w:t>
      </w:r>
      <w:hyperlink r:id="rId1" w:history="1">
        <w:r w:rsidRPr="00132ADA">
          <w:rPr>
            <w:rStyle w:val="Hyperlink"/>
            <w:sz w:val="20"/>
            <w:szCs w:val="20"/>
          </w:rPr>
          <w:t>https://www.smh.com.au/lifestyle/beauty/makeup-the-key-to-success-20111025-1mhik.html</w:t>
        </w:r>
      </w:hyperlink>
      <w:r w:rsidRPr="00132ADA">
        <w:rPr>
          <w:sz w:val="20"/>
          <w:szCs w:val="20"/>
        </w:rPr>
        <w:t xml:space="preserve"> (accessed 31 October 2011).</w:t>
      </w:r>
    </w:p>
  </w:endnote>
  <w:endnote w:id="2">
    <w:p w14:paraId="69CA73DF" w14:textId="52F460E8" w:rsidR="00981D94" w:rsidRPr="00514CC3" w:rsidRDefault="00981D94" w:rsidP="00375720">
      <w:pPr>
        <w:pStyle w:val="EndnoteText"/>
        <w:jc w:val="both"/>
      </w:pPr>
      <w:r>
        <w:rPr>
          <w:rStyle w:val="EndnoteReference"/>
        </w:rPr>
        <w:endnoteRef/>
      </w:r>
      <w:r>
        <w:t xml:space="preserve"> Liz Conor, </w:t>
      </w:r>
      <w:r>
        <w:rPr>
          <w:i/>
          <w:iCs/>
        </w:rPr>
        <w:t>The Spectacular Modern Woman</w:t>
      </w:r>
      <w:r>
        <w:t>, Indiana University Press, Bloomington, Ill, 2004, p. 2.</w:t>
      </w:r>
    </w:p>
  </w:endnote>
  <w:endnote w:id="3">
    <w:p w14:paraId="625ABCA5" w14:textId="292343A3" w:rsidR="00981D94" w:rsidRDefault="00981D94" w:rsidP="007A2852">
      <w:pPr>
        <w:pStyle w:val="EndnoteText"/>
        <w:jc w:val="both"/>
      </w:pPr>
      <w:r>
        <w:rPr>
          <w:rStyle w:val="EndnoteReference"/>
        </w:rPr>
        <w:endnoteRef/>
      </w:r>
      <w:r>
        <w:t xml:space="preserve"> Ibid, p. 48.</w:t>
      </w:r>
    </w:p>
  </w:endnote>
  <w:endnote w:id="4">
    <w:p w14:paraId="2EC4D456" w14:textId="53B04C72" w:rsidR="00981D94" w:rsidRDefault="00981D94" w:rsidP="007A2852">
      <w:pPr>
        <w:pStyle w:val="EndnoteText"/>
        <w:jc w:val="both"/>
      </w:pPr>
      <w:r>
        <w:rPr>
          <w:rStyle w:val="EndnoteReference"/>
        </w:rPr>
        <w:endnoteRef/>
      </w:r>
      <w:r>
        <w:t xml:space="preserve"> Ibid, p. 49.</w:t>
      </w:r>
    </w:p>
  </w:endnote>
  <w:endnote w:id="5">
    <w:p w14:paraId="45B050F8" w14:textId="0FAE8724" w:rsidR="00981D94" w:rsidRDefault="00981D94" w:rsidP="007A2852">
      <w:pPr>
        <w:pStyle w:val="EndnoteText"/>
        <w:jc w:val="both"/>
      </w:pPr>
      <w:r>
        <w:rPr>
          <w:rStyle w:val="EndnoteReference"/>
        </w:rPr>
        <w:endnoteRef/>
      </w:r>
      <w:r>
        <w:t xml:space="preserve"> Ibid, p. 66.</w:t>
      </w:r>
    </w:p>
  </w:endnote>
  <w:endnote w:id="6">
    <w:p w14:paraId="01FB7560" w14:textId="4776CF2C" w:rsidR="00981D94" w:rsidRPr="0083168B" w:rsidRDefault="00981D94" w:rsidP="00F91625">
      <w:pPr>
        <w:pStyle w:val="EndnoteText"/>
        <w:jc w:val="both"/>
      </w:pPr>
      <w:r>
        <w:rPr>
          <w:rStyle w:val="EndnoteReference"/>
        </w:rPr>
        <w:endnoteRef/>
      </w:r>
      <w:r>
        <w:t xml:space="preserve"> Caesare Lombroso, </w:t>
      </w:r>
      <w:r>
        <w:rPr>
          <w:i/>
          <w:iCs/>
        </w:rPr>
        <w:t>Criminal Man</w:t>
      </w:r>
      <w:r>
        <w:t xml:space="preserve">, original publication 1889, reprinted GP Putnam’s Sons, New York, NY, USA, 1911;  Nicole Hahn Rafter and Mary Gibson (trns), Tseng Information Systems Inc., Durham, NC, USA, 2006;     Caesare Lombroso and Guglielmo Ferrero, </w:t>
      </w:r>
      <w:r>
        <w:rPr>
          <w:i/>
          <w:iCs/>
        </w:rPr>
        <w:t>Criminal Woman, the Prostitute and the Normal Woman</w:t>
      </w:r>
      <w:r>
        <w:t>, original publication 1893, reprinted Nicole Hahn Rafter and Mary Gibson (trns), Tseng Information Systems Inc., Durham, NC, USA, 2004.</w:t>
      </w:r>
    </w:p>
  </w:endnote>
  <w:endnote w:id="7">
    <w:p w14:paraId="42906CAA" w14:textId="25F2E199" w:rsidR="00981D94" w:rsidRPr="00580782" w:rsidRDefault="00981D94" w:rsidP="00F91625">
      <w:pPr>
        <w:spacing w:after="0"/>
        <w:jc w:val="both"/>
        <w:rPr>
          <w:sz w:val="20"/>
          <w:szCs w:val="20"/>
        </w:rPr>
      </w:pPr>
      <w:r w:rsidRPr="00580782">
        <w:rPr>
          <w:rStyle w:val="EndnoteReference"/>
          <w:sz w:val="20"/>
          <w:szCs w:val="20"/>
        </w:rPr>
        <w:endnoteRef/>
      </w:r>
      <w:r w:rsidRPr="00580782">
        <w:rPr>
          <w:sz w:val="20"/>
          <w:szCs w:val="20"/>
        </w:rPr>
        <w:t xml:space="preserve">   Af Afia A. Ofori-Mensa, Beauty, Bodies, and Boundaries: Pageants, Race, and U.S. National Identity, PhD Thesis, University of Michigan, Ann Arbor, MI, USA, 2010</w:t>
      </w:r>
      <w:r>
        <w:rPr>
          <w:sz w:val="20"/>
          <w:szCs w:val="20"/>
        </w:rPr>
        <w:t xml:space="preserve">, </w:t>
      </w:r>
      <w:r w:rsidRPr="00580782">
        <w:rPr>
          <w:sz w:val="20"/>
          <w:szCs w:val="20"/>
        </w:rPr>
        <w:t xml:space="preserve">  </w:t>
      </w:r>
      <w:hyperlink r:id="rId2" w:history="1">
        <w:r w:rsidRPr="00580782">
          <w:rPr>
            <w:rStyle w:val="Hyperlink"/>
            <w:sz w:val="20"/>
            <w:szCs w:val="20"/>
          </w:rPr>
          <w:t>https://deepblue.lib.umich.edu/handle/2027.42/78957</w:t>
        </w:r>
      </w:hyperlink>
      <w:r w:rsidRPr="00580782">
        <w:rPr>
          <w:sz w:val="20"/>
          <w:szCs w:val="20"/>
        </w:rPr>
        <w:t xml:space="preserve"> (accessed 20 November 2019)</w:t>
      </w:r>
      <w:r>
        <w:rPr>
          <w:sz w:val="20"/>
          <w:szCs w:val="20"/>
        </w:rPr>
        <w:t xml:space="preserve">;  Aro Velmet, ‘Beauty and big business: gender, race and civilization decline in French beauty pageants, 1920-37’, vol. 28, issue 1, </w:t>
      </w:r>
      <w:r>
        <w:rPr>
          <w:i/>
          <w:iCs/>
          <w:sz w:val="20"/>
          <w:szCs w:val="20"/>
        </w:rPr>
        <w:t>French History</w:t>
      </w:r>
      <w:r>
        <w:rPr>
          <w:sz w:val="20"/>
          <w:szCs w:val="20"/>
        </w:rPr>
        <w:t xml:space="preserve">, March 2014, pp. 66-91, </w:t>
      </w:r>
      <w:hyperlink r:id="rId3" w:history="1">
        <w:r w:rsidRPr="008459E4">
          <w:rPr>
            <w:rStyle w:val="Hyperlink"/>
            <w:sz w:val="20"/>
            <w:szCs w:val="20"/>
          </w:rPr>
          <w:t>https://academic.oup.com/fh/issue/28/1</w:t>
        </w:r>
      </w:hyperlink>
      <w:r>
        <w:rPr>
          <w:sz w:val="20"/>
          <w:szCs w:val="20"/>
        </w:rPr>
        <w:t xml:space="preserve"> (accessed 20 November 2019).</w:t>
      </w:r>
    </w:p>
  </w:endnote>
  <w:endnote w:id="8">
    <w:p w14:paraId="39094035" w14:textId="1DC22241" w:rsidR="00981D94" w:rsidRDefault="00981D94" w:rsidP="000F57EE">
      <w:pPr>
        <w:pStyle w:val="EndnoteText"/>
        <w:jc w:val="both"/>
      </w:pPr>
      <w:r>
        <w:rPr>
          <w:rStyle w:val="EndnoteReference"/>
        </w:rPr>
        <w:endnoteRef/>
      </w:r>
      <w:r>
        <w:t xml:space="preserve"> </w:t>
      </w:r>
      <w:r w:rsidR="00233B3F">
        <w:t xml:space="preserve">Liz </w:t>
      </w:r>
      <w:r>
        <w:t>Conor, ibid, p. 162.</w:t>
      </w:r>
    </w:p>
  </w:endnote>
  <w:endnote w:id="9">
    <w:p w14:paraId="7270E357" w14:textId="77777777" w:rsidR="00981D94" w:rsidRDefault="00981D94" w:rsidP="004953BC">
      <w:pPr>
        <w:pStyle w:val="EndnoteText"/>
        <w:jc w:val="both"/>
      </w:pPr>
      <w:r>
        <w:rPr>
          <w:rStyle w:val="EndnoteReference"/>
        </w:rPr>
        <w:endnoteRef/>
      </w:r>
      <w:r>
        <w:t xml:space="preserve"> ‘Vain Women: The Self-Flatterer and Her Fate’, </w:t>
      </w:r>
      <w:r>
        <w:rPr>
          <w:i/>
          <w:iCs/>
        </w:rPr>
        <w:t>Sunraysia Daily</w:t>
      </w:r>
      <w:r>
        <w:t>, 17 March 1923, p. 6.</w:t>
      </w:r>
    </w:p>
  </w:endnote>
  <w:endnote w:id="10">
    <w:p w14:paraId="486ACC45" w14:textId="2C6A6541" w:rsidR="00981D94" w:rsidRPr="007A51F7" w:rsidRDefault="00981D94" w:rsidP="007A51F7">
      <w:pPr>
        <w:pStyle w:val="EndnoteText"/>
        <w:jc w:val="both"/>
      </w:pPr>
      <w:r>
        <w:rPr>
          <w:rStyle w:val="EndnoteReference"/>
        </w:rPr>
        <w:endnoteRef/>
      </w:r>
      <w:r>
        <w:t xml:space="preserve"> Jill Julius Matthews, ‘Building the Body Beautiful: The Femininity of Modernity’, 5 </w:t>
      </w:r>
      <w:r>
        <w:rPr>
          <w:i/>
          <w:iCs/>
        </w:rPr>
        <w:t xml:space="preserve">Australian Feminist Studies </w:t>
      </w:r>
      <w:r>
        <w:t>(Summer 1987), p. 27.</w:t>
      </w:r>
    </w:p>
  </w:endnote>
  <w:endnote w:id="11">
    <w:p w14:paraId="58A63CE8" w14:textId="240B09A0" w:rsidR="00981D94" w:rsidRPr="00580782" w:rsidRDefault="00981D94" w:rsidP="007A51F7">
      <w:pPr>
        <w:pStyle w:val="EndnoteText"/>
        <w:jc w:val="both"/>
      </w:pPr>
      <w:r w:rsidRPr="00580782">
        <w:rPr>
          <w:rStyle w:val="EndnoteReference"/>
        </w:rPr>
        <w:endnoteRef/>
      </w:r>
      <w:r w:rsidRPr="00580782">
        <w:t xml:space="preserve"> Susie Orbach, </w:t>
      </w:r>
      <w:r w:rsidRPr="00580782">
        <w:rPr>
          <w:i/>
          <w:iCs/>
        </w:rPr>
        <w:t>Bodies</w:t>
      </w:r>
      <w:r w:rsidRPr="00580782">
        <w:t>, Profile, London, UK, 2009, 2010, 2016, pp. 72-73.</w:t>
      </w:r>
    </w:p>
  </w:endnote>
  <w:endnote w:id="12">
    <w:p w14:paraId="125796BD" w14:textId="60BE2228" w:rsidR="00981D94" w:rsidRPr="00132ADA" w:rsidRDefault="00981D94" w:rsidP="007A51F7">
      <w:pPr>
        <w:pStyle w:val="EndnoteText"/>
        <w:jc w:val="both"/>
      </w:pPr>
      <w:r w:rsidRPr="00132ADA">
        <w:rPr>
          <w:rStyle w:val="EndnoteReference"/>
        </w:rPr>
        <w:endnoteRef/>
      </w:r>
      <w:r w:rsidRPr="00132ADA">
        <w:t xml:space="preserve"> Ibid, p. 73.</w:t>
      </w:r>
    </w:p>
  </w:endnote>
  <w:endnote w:id="13">
    <w:p w14:paraId="6D5246CF" w14:textId="306D7FA7" w:rsidR="00981D94" w:rsidRDefault="00981D94" w:rsidP="007A51F7">
      <w:pPr>
        <w:pStyle w:val="EndnoteText"/>
        <w:jc w:val="both"/>
      </w:pPr>
      <w:r>
        <w:rPr>
          <w:rStyle w:val="EndnoteReference"/>
        </w:rPr>
        <w:endnoteRef/>
      </w:r>
      <w:r>
        <w:t xml:space="preserve"> </w:t>
      </w:r>
      <w:r w:rsidRPr="00132ADA">
        <w:t xml:space="preserve">Germaine Greer, </w:t>
      </w:r>
      <w:r w:rsidRPr="00132ADA">
        <w:rPr>
          <w:i/>
          <w:iCs/>
        </w:rPr>
        <w:t>The Female Eunuch</w:t>
      </w:r>
      <w:r w:rsidRPr="00132ADA">
        <w:t xml:space="preserve">, </w:t>
      </w:r>
      <w:r>
        <w:t xml:space="preserve">Palladin, New York, NY, USA, </w:t>
      </w:r>
      <w:r w:rsidRPr="00132ADA">
        <w:t>1971</w:t>
      </w:r>
      <w:r>
        <w:t>, p. 41.</w:t>
      </w:r>
    </w:p>
  </w:endnote>
  <w:endnote w:id="14">
    <w:p w14:paraId="0319BC7B" w14:textId="5F8964D5" w:rsidR="00981D94" w:rsidRPr="009276FB" w:rsidRDefault="00981D94" w:rsidP="00375720">
      <w:pPr>
        <w:pStyle w:val="EndnoteText"/>
        <w:jc w:val="both"/>
      </w:pPr>
      <w:r>
        <w:rPr>
          <w:rStyle w:val="EndnoteReference"/>
        </w:rPr>
        <w:endnoteRef/>
      </w:r>
      <w:r>
        <w:t xml:space="preserve"> See for example John Berger, </w:t>
      </w:r>
      <w:r>
        <w:rPr>
          <w:i/>
          <w:iCs/>
        </w:rPr>
        <w:t>Ways of Seeing</w:t>
      </w:r>
      <w:r>
        <w:t>, Penguin, Harmondsworth, UK, 1972.</w:t>
      </w:r>
    </w:p>
  </w:endnote>
  <w:endnote w:id="15">
    <w:p w14:paraId="468D6C03" w14:textId="7CB91240" w:rsidR="00981D94" w:rsidRDefault="00981D94" w:rsidP="009276FB">
      <w:pPr>
        <w:pStyle w:val="EndnoteText"/>
        <w:jc w:val="both"/>
      </w:pPr>
      <w:r>
        <w:rPr>
          <w:rStyle w:val="EndnoteReference"/>
        </w:rPr>
        <w:endnoteRef/>
      </w:r>
      <w:r>
        <w:t xml:space="preserve"> </w:t>
      </w:r>
      <w:r w:rsidRPr="00132ADA">
        <w:t>G</w:t>
      </w:r>
      <w:r w:rsidR="00233B3F">
        <w:t>ermaine G</w:t>
      </w:r>
      <w:r w:rsidRPr="00132ADA">
        <w:t xml:space="preserve">reer, </w:t>
      </w:r>
      <w:r>
        <w:t>ibid.</w:t>
      </w:r>
    </w:p>
  </w:endnote>
  <w:endnote w:id="16">
    <w:p w14:paraId="2F908A85" w14:textId="7D967599" w:rsidR="00981D94" w:rsidRPr="00132ADA" w:rsidRDefault="00981D94" w:rsidP="006D062B">
      <w:pPr>
        <w:pStyle w:val="EndnoteText"/>
        <w:jc w:val="both"/>
      </w:pPr>
      <w:r w:rsidRPr="00132ADA">
        <w:rPr>
          <w:rStyle w:val="EndnoteReference"/>
        </w:rPr>
        <w:endnoteRef/>
      </w:r>
      <w:r w:rsidRPr="00132ADA">
        <w:t xml:space="preserve"> Susie Orbach, </w:t>
      </w:r>
      <w:r w:rsidRPr="00132ADA">
        <w:rPr>
          <w:i/>
          <w:iCs/>
        </w:rPr>
        <w:t>Fat is a Feminist Issue</w:t>
      </w:r>
      <w:r w:rsidRPr="00132ADA">
        <w:t>, Random House, London, UK, 1978, 1988.</w:t>
      </w:r>
    </w:p>
  </w:endnote>
  <w:endnote w:id="17">
    <w:p w14:paraId="6B8F066B" w14:textId="69CFFF50" w:rsidR="00981D94" w:rsidRPr="00132ADA" w:rsidRDefault="00981D94" w:rsidP="006D062B">
      <w:pPr>
        <w:pStyle w:val="EndnoteText"/>
        <w:jc w:val="both"/>
        <w:rPr>
          <w:iCs/>
        </w:rPr>
      </w:pPr>
      <w:r w:rsidRPr="00132ADA">
        <w:rPr>
          <w:rStyle w:val="EndnoteReference"/>
        </w:rPr>
        <w:endnoteRef/>
      </w:r>
      <w:r w:rsidRPr="00132ADA">
        <w:t xml:space="preserve"> Kate Millett, </w:t>
      </w:r>
      <w:r w:rsidRPr="00132ADA">
        <w:rPr>
          <w:i/>
          <w:iCs/>
        </w:rPr>
        <w:t>Sexual Politics</w:t>
      </w:r>
      <w:r w:rsidRPr="00132ADA">
        <w:rPr>
          <w:iCs/>
        </w:rPr>
        <w:t>,</w:t>
      </w:r>
      <w:r>
        <w:rPr>
          <w:iCs/>
        </w:rPr>
        <w:t xml:space="preserve"> University of Illinois Press, Chi., Ill., USA, 2006, 1969;  </w:t>
      </w:r>
      <w:r w:rsidRPr="00132ADA">
        <w:rPr>
          <w:iCs/>
        </w:rPr>
        <w:t xml:space="preserve">Simone de Beauvoir, </w:t>
      </w:r>
      <w:r w:rsidRPr="00132ADA">
        <w:rPr>
          <w:i/>
        </w:rPr>
        <w:t>The Second Sex</w:t>
      </w:r>
      <w:r w:rsidRPr="00132ADA">
        <w:rPr>
          <w:iCs/>
        </w:rPr>
        <w:t>, HM Parshley, trns, Knopf, New York, NY, USA, 1954.</w:t>
      </w:r>
    </w:p>
  </w:endnote>
  <w:endnote w:id="18">
    <w:p w14:paraId="52C9A94E" w14:textId="7770EA2C" w:rsidR="00981D94" w:rsidRPr="00132ADA" w:rsidRDefault="00981D94" w:rsidP="006D062B">
      <w:pPr>
        <w:pStyle w:val="EndnoteText"/>
        <w:jc w:val="both"/>
      </w:pPr>
      <w:r w:rsidRPr="00132ADA">
        <w:rPr>
          <w:rStyle w:val="EndnoteReference"/>
        </w:rPr>
        <w:endnoteRef/>
      </w:r>
      <w:r w:rsidRPr="00132ADA">
        <w:t xml:space="preserve"> Greer, </w:t>
      </w:r>
      <w:r>
        <w:t xml:space="preserve">ibid;  </w:t>
      </w:r>
      <w:r w:rsidRPr="00132ADA">
        <w:t xml:space="preserve">Betty Friedan, </w:t>
      </w:r>
      <w:r w:rsidRPr="00132ADA">
        <w:rPr>
          <w:i/>
          <w:iCs/>
        </w:rPr>
        <w:t>The Feminine Mystique</w:t>
      </w:r>
      <w:r w:rsidRPr="00132ADA">
        <w:t xml:space="preserve">, </w:t>
      </w:r>
      <w:r>
        <w:t xml:space="preserve">WW Norton, New York, NY, USA, </w:t>
      </w:r>
      <w:r w:rsidRPr="00132ADA">
        <w:t>19</w:t>
      </w:r>
      <w:r>
        <w:t>63.</w:t>
      </w:r>
    </w:p>
  </w:endnote>
  <w:endnote w:id="19">
    <w:p w14:paraId="2A9EC04B" w14:textId="515A3339" w:rsidR="00981D94" w:rsidRPr="00132ADA" w:rsidRDefault="00981D94" w:rsidP="006D062B">
      <w:pPr>
        <w:pStyle w:val="EndnoteText"/>
        <w:jc w:val="both"/>
        <w:rPr>
          <w:bCs/>
        </w:rPr>
      </w:pPr>
      <w:r w:rsidRPr="00132ADA">
        <w:rPr>
          <w:rStyle w:val="EndnoteReference"/>
        </w:rPr>
        <w:endnoteRef/>
      </w:r>
      <w:r w:rsidRPr="00132ADA">
        <w:t xml:space="preserve"> Schulamith Firestone, </w:t>
      </w:r>
      <w:r w:rsidRPr="00132ADA">
        <w:rPr>
          <w:i/>
          <w:iCs/>
        </w:rPr>
        <w:t>The Dialectic of Sex</w:t>
      </w:r>
      <w:r>
        <w:rPr>
          <w:i/>
          <w:iCs/>
        </w:rPr>
        <w:t>: The Case for Feminist Revolution</w:t>
      </w:r>
      <w:r w:rsidRPr="00132ADA">
        <w:t>,</w:t>
      </w:r>
      <w:r>
        <w:t xml:space="preserve"> Wm Morrow, New York, NY, USA, 1970;  </w:t>
      </w:r>
      <w:r w:rsidRPr="00132ADA">
        <w:t xml:space="preserve">Susan Brownmiller, </w:t>
      </w:r>
      <w:r w:rsidRPr="00132ADA">
        <w:rPr>
          <w:i/>
          <w:iCs/>
        </w:rPr>
        <w:t>Femininity</w:t>
      </w:r>
      <w:r w:rsidRPr="00132ADA">
        <w:t xml:space="preserve">, Simon &amp; Schuster/Linden Press, New York, NY, USA, 1984;  Susan </w:t>
      </w:r>
      <w:r w:rsidRPr="00132ADA">
        <w:rPr>
          <w:bCs/>
        </w:rPr>
        <w:t xml:space="preserve">Brownmiller, </w:t>
      </w:r>
      <w:r w:rsidRPr="00132ADA">
        <w:rPr>
          <w:bCs/>
          <w:i/>
          <w:iCs/>
        </w:rPr>
        <w:t>Against Our Will – Men, Women &amp; Rape</w:t>
      </w:r>
      <w:r w:rsidRPr="00132ADA">
        <w:rPr>
          <w:bCs/>
        </w:rPr>
        <w:t xml:space="preserve">, </w:t>
      </w:r>
      <w:r>
        <w:rPr>
          <w:bCs/>
        </w:rPr>
        <w:t>Simon &amp; Schuster, New York, NY, USA, 1975.</w:t>
      </w:r>
    </w:p>
  </w:endnote>
  <w:endnote w:id="20">
    <w:p w14:paraId="56EA45EA" w14:textId="763546F9" w:rsidR="00981D94" w:rsidRPr="00132ADA" w:rsidRDefault="00981D94" w:rsidP="006D062B">
      <w:pPr>
        <w:pStyle w:val="EndnoteText"/>
        <w:jc w:val="both"/>
        <w:rPr>
          <w:i/>
          <w:iCs/>
        </w:rPr>
      </w:pPr>
      <w:r w:rsidRPr="00132ADA">
        <w:rPr>
          <w:rStyle w:val="EndnoteReference"/>
        </w:rPr>
        <w:endnoteRef/>
      </w:r>
      <w:r w:rsidRPr="00132ADA">
        <w:t xml:space="preserve"> Robin Morgan (ed.), </w:t>
      </w:r>
      <w:r w:rsidRPr="00132ADA">
        <w:rPr>
          <w:i/>
          <w:iCs/>
        </w:rPr>
        <w:t>Sisterhood is Powerful</w:t>
      </w:r>
      <w:r w:rsidRPr="00132ADA">
        <w:t>, Vintage, New York, NY, USA, 1970</w:t>
      </w:r>
      <w:r>
        <w:t xml:space="preserve">. </w:t>
      </w:r>
    </w:p>
  </w:endnote>
  <w:endnote w:id="21">
    <w:p w14:paraId="1D453A96" w14:textId="23B6D249" w:rsidR="00981D94" w:rsidRDefault="00981D94" w:rsidP="00717443">
      <w:pPr>
        <w:pStyle w:val="EndnoteText"/>
        <w:jc w:val="both"/>
      </w:pPr>
      <w:r>
        <w:rPr>
          <w:rStyle w:val="EndnoteReference"/>
        </w:rPr>
        <w:endnoteRef/>
      </w:r>
      <w:r>
        <w:t xml:space="preserve"> </w:t>
      </w:r>
      <w:r w:rsidRPr="00132ADA">
        <w:t>Jo Freeman</w:t>
      </w:r>
      <w:r>
        <w:t xml:space="preserve"> (aka Joreen)</w:t>
      </w:r>
      <w:r w:rsidRPr="00132ADA">
        <w:t xml:space="preserve">, </w:t>
      </w:r>
      <w:r>
        <w:t xml:space="preserve">‘The Tyranny of Structurelessness’, </w:t>
      </w:r>
      <w:r>
        <w:rPr>
          <w:i/>
          <w:iCs/>
        </w:rPr>
        <w:t>Jo_Freeman.com</w:t>
      </w:r>
      <w:r>
        <w:t xml:space="preserve">, (originally 1970), </w:t>
      </w:r>
      <w:hyperlink r:id="rId4" w:history="1">
        <w:r w:rsidRPr="00810305">
          <w:rPr>
            <w:rStyle w:val="Hyperlink"/>
          </w:rPr>
          <w:t>https://www.jofreeman.com/joreen/tyranny.htm</w:t>
        </w:r>
      </w:hyperlink>
      <w:r>
        <w:t xml:space="preserve"> (accessed 12 January 2013).</w:t>
      </w:r>
    </w:p>
  </w:endnote>
  <w:endnote w:id="22">
    <w:p w14:paraId="28228F34" w14:textId="24B1457E" w:rsidR="00981D94" w:rsidRDefault="00981D94" w:rsidP="00273740">
      <w:pPr>
        <w:pStyle w:val="EndnoteText"/>
        <w:jc w:val="both"/>
      </w:pPr>
      <w:r>
        <w:rPr>
          <w:rStyle w:val="EndnoteReference"/>
        </w:rPr>
        <w:endnoteRef/>
      </w:r>
      <w:r>
        <w:t xml:space="preserve"> </w:t>
      </w:r>
      <w:r w:rsidRPr="00132ADA">
        <w:t xml:space="preserve">Gloria Steinem, </w:t>
      </w:r>
      <w:r>
        <w:t xml:space="preserve">published in </w:t>
      </w:r>
      <w:r>
        <w:rPr>
          <w:i/>
          <w:iCs/>
        </w:rPr>
        <w:t xml:space="preserve">Show </w:t>
      </w:r>
      <w:r w:rsidRPr="00CC16AB">
        <w:t>Magazine</w:t>
      </w:r>
      <w:r>
        <w:t xml:space="preserve">, 1963, see ‘Gloria Steinem: Biography’, </w:t>
      </w:r>
      <w:r>
        <w:rPr>
          <w:i/>
          <w:iCs/>
        </w:rPr>
        <w:t>Biography</w:t>
      </w:r>
      <w:r>
        <w:t xml:space="preserve">, </w:t>
      </w:r>
      <w:hyperlink r:id="rId5" w:history="1">
        <w:r w:rsidRPr="00810305">
          <w:rPr>
            <w:rStyle w:val="Hyperlink"/>
          </w:rPr>
          <w:t>https://www.biography.com/activist/gloria-steinem</w:t>
        </w:r>
      </w:hyperlink>
      <w:r>
        <w:t xml:space="preserve"> (accessed 4 April 2018).</w:t>
      </w:r>
    </w:p>
  </w:endnote>
  <w:endnote w:id="23">
    <w:p w14:paraId="7B5CFF45" w14:textId="600CD281" w:rsidR="00981D94" w:rsidRDefault="00981D94" w:rsidP="00273740">
      <w:pPr>
        <w:pStyle w:val="EndnoteText"/>
        <w:jc w:val="both"/>
      </w:pPr>
      <w:r>
        <w:rPr>
          <w:rStyle w:val="EndnoteReference"/>
        </w:rPr>
        <w:endnoteRef/>
      </w:r>
      <w:r>
        <w:t xml:space="preserve"> ‘No More Miss America’, </w:t>
      </w:r>
      <w:r>
        <w:rPr>
          <w:i/>
          <w:iCs/>
        </w:rPr>
        <w:t>Redstockings</w:t>
      </w:r>
      <w:r>
        <w:t xml:space="preserve">, 22 August 1968, </w:t>
      </w:r>
      <w:hyperlink r:id="rId6" w:history="1">
        <w:r w:rsidRPr="00810305">
          <w:rPr>
            <w:rStyle w:val="Hyperlink"/>
          </w:rPr>
          <w:t>http://www.redstockings.org/index.php?option=com_content&amp;view=article&amp;id=65&amp;Itemid=103</w:t>
        </w:r>
      </w:hyperlink>
      <w:r>
        <w:t xml:space="preserve"> (accessed 4 April 2018). </w:t>
      </w:r>
    </w:p>
  </w:endnote>
  <w:endnote w:id="24">
    <w:p w14:paraId="0550C582" w14:textId="3164CD1C" w:rsidR="00981D94" w:rsidRPr="00F8122B" w:rsidRDefault="00981D94" w:rsidP="00273740">
      <w:pPr>
        <w:pStyle w:val="EndnoteText"/>
        <w:jc w:val="both"/>
      </w:pPr>
      <w:r w:rsidRPr="00F8122B">
        <w:rPr>
          <w:rStyle w:val="EndnoteReference"/>
        </w:rPr>
        <w:endnoteRef/>
      </w:r>
      <w:r w:rsidRPr="00F8122B">
        <w:t xml:space="preserve"> Mirabel Morgan, </w:t>
      </w:r>
      <w:r w:rsidRPr="00F8122B">
        <w:rPr>
          <w:i/>
          <w:iCs/>
        </w:rPr>
        <w:t>The Total Woman – How to Make Your Marriage Come Alive</w:t>
      </w:r>
      <w:r w:rsidRPr="00F8122B">
        <w:t>, FH Revell, Ada, Mi., 1973, Pocket Books, New York, NY, USA, 1990.</w:t>
      </w:r>
    </w:p>
  </w:endnote>
  <w:endnote w:id="25">
    <w:p w14:paraId="430B10E2" w14:textId="2D4BE1FE" w:rsidR="00981D94" w:rsidRPr="00F8122B" w:rsidRDefault="00981D94" w:rsidP="00F8122B">
      <w:pPr>
        <w:spacing w:after="0"/>
        <w:jc w:val="both"/>
        <w:rPr>
          <w:sz w:val="20"/>
          <w:szCs w:val="20"/>
        </w:rPr>
      </w:pPr>
      <w:r w:rsidRPr="00F8122B">
        <w:rPr>
          <w:rStyle w:val="EndnoteReference"/>
          <w:sz w:val="20"/>
          <w:szCs w:val="20"/>
        </w:rPr>
        <w:endnoteRef/>
      </w:r>
      <w:r w:rsidRPr="00F8122B">
        <w:rPr>
          <w:sz w:val="20"/>
          <w:szCs w:val="20"/>
        </w:rPr>
        <w:t xml:space="preserve"> Nathan Raban, ‘Exploiting Our Archives … Women Hating Women: The Toxic Anti-Feminism of Self-Help Guru Marabel Morgan’, </w:t>
      </w:r>
      <w:r w:rsidRPr="00F8122B">
        <w:rPr>
          <w:i/>
          <w:iCs/>
          <w:sz w:val="20"/>
          <w:szCs w:val="20"/>
        </w:rPr>
        <w:t>Nathan Raban Blog</w:t>
      </w:r>
      <w:r w:rsidRPr="00F8122B">
        <w:rPr>
          <w:sz w:val="20"/>
          <w:szCs w:val="20"/>
        </w:rPr>
        <w:t xml:space="preserve">, 9 July 2018, </w:t>
      </w:r>
      <w:hyperlink r:id="rId7" w:history="1">
        <w:r w:rsidRPr="00F8122B">
          <w:rPr>
            <w:rStyle w:val="Hyperlink"/>
            <w:sz w:val="20"/>
            <w:szCs w:val="20"/>
          </w:rPr>
          <w:t>https://www.nathanrabin.com/happy-place/2017/4/28/women-hating-women-the-toxic-anti-feminism-of-self-help-guru-marabel-morgan</w:t>
        </w:r>
      </w:hyperlink>
      <w:r w:rsidRPr="00F8122B">
        <w:rPr>
          <w:sz w:val="20"/>
          <w:szCs w:val="20"/>
        </w:rPr>
        <w:t xml:space="preserve"> (accessed 30 July 2018).</w:t>
      </w:r>
    </w:p>
  </w:endnote>
  <w:endnote w:id="26">
    <w:p w14:paraId="25319BA6" w14:textId="77777777" w:rsidR="00981D94" w:rsidRPr="00F8122B" w:rsidRDefault="00981D94" w:rsidP="00F8122B">
      <w:pPr>
        <w:spacing w:after="0"/>
        <w:jc w:val="both"/>
        <w:rPr>
          <w:sz w:val="20"/>
          <w:szCs w:val="20"/>
        </w:rPr>
      </w:pPr>
      <w:r w:rsidRPr="00F8122B">
        <w:rPr>
          <w:rStyle w:val="EndnoteReference"/>
          <w:sz w:val="20"/>
          <w:szCs w:val="20"/>
        </w:rPr>
        <w:endnoteRef/>
      </w:r>
      <w:r w:rsidRPr="00F8122B">
        <w:rPr>
          <w:sz w:val="20"/>
          <w:szCs w:val="20"/>
        </w:rPr>
        <w:t xml:space="preserve"> Kasey Edwards, ‘What women are expected to spend on beauty amounts to a house deposit’, </w:t>
      </w:r>
      <w:r w:rsidRPr="00F8122B">
        <w:rPr>
          <w:i/>
          <w:iCs/>
          <w:sz w:val="20"/>
          <w:szCs w:val="20"/>
        </w:rPr>
        <w:t>Sydney Morning Herald</w:t>
      </w:r>
      <w:r w:rsidRPr="00F8122B">
        <w:rPr>
          <w:sz w:val="20"/>
          <w:szCs w:val="20"/>
        </w:rPr>
        <w:t xml:space="preserve">, 11 June 2019, </w:t>
      </w:r>
      <w:hyperlink r:id="rId8" w:history="1">
        <w:r w:rsidRPr="00F8122B">
          <w:rPr>
            <w:rStyle w:val="Hyperlink"/>
            <w:sz w:val="20"/>
            <w:szCs w:val="20"/>
          </w:rPr>
          <w:t>https://www.smh.com.au/lifestyle/beauty/what-women-are-expected-to-spend-on-beauty-amounts-to-a-house-deposit-20190609-p51vzn.html?utm_medium=Social(accessed</w:t>
        </w:r>
      </w:hyperlink>
      <w:r w:rsidRPr="00F8122B">
        <w:rPr>
          <w:sz w:val="20"/>
          <w:szCs w:val="20"/>
        </w:rPr>
        <w:t xml:space="preserve"> 12 June 2019).</w:t>
      </w:r>
    </w:p>
  </w:endnote>
  <w:endnote w:id="27">
    <w:p w14:paraId="7B2D077E" w14:textId="77777777" w:rsidR="00981D94" w:rsidRPr="00F8122B" w:rsidRDefault="00981D94" w:rsidP="00F8122B">
      <w:pPr>
        <w:pStyle w:val="EndnoteText"/>
        <w:jc w:val="both"/>
      </w:pPr>
      <w:r w:rsidRPr="00F8122B">
        <w:rPr>
          <w:rStyle w:val="EndnoteReference"/>
        </w:rPr>
        <w:endnoteRef/>
      </w:r>
      <w:r w:rsidRPr="00F8122B">
        <w:t xml:space="preserve"> Ibid.</w:t>
      </w:r>
    </w:p>
  </w:endnote>
  <w:endnote w:id="28">
    <w:p w14:paraId="1F1C3BCC" w14:textId="3ACCAE6D" w:rsidR="00981D94" w:rsidRPr="00F8122B" w:rsidRDefault="00981D94" w:rsidP="00F8122B">
      <w:pPr>
        <w:pStyle w:val="EndnoteText"/>
        <w:jc w:val="both"/>
      </w:pPr>
      <w:r w:rsidRPr="00F8122B">
        <w:rPr>
          <w:rStyle w:val="EndnoteReference"/>
        </w:rPr>
        <w:endnoteRef/>
      </w:r>
      <w:r w:rsidRPr="00F8122B">
        <w:t xml:space="preserve"> Ibid.</w:t>
      </w:r>
    </w:p>
  </w:endnote>
  <w:endnote w:id="29">
    <w:p w14:paraId="0A2943F7" w14:textId="229823A1" w:rsidR="00981D94" w:rsidRPr="00F8122B" w:rsidRDefault="00981D94" w:rsidP="00F8122B">
      <w:pPr>
        <w:pStyle w:val="EndnoteText"/>
        <w:jc w:val="both"/>
      </w:pPr>
      <w:r w:rsidRPr="00F8122B">
        <w:rPr>
          <w:rStyle w:val="EndnoteReference"/>
        </w:rPr>
        <w:endnoteRef/>
      </w:r>
      <w:r w:rsidRPr="00F8122B">
        <w:t xml:space="preserve"> Ibid.</w:t>
      </w:r>
    </w:p>
  </w:endnote>
  <w:endnote w:id="30">
    <w:p w14:paraId="5D92F466" w14:textId="2B64C709" w:rsidR="00981D94" w:rsidRDefault="00981D94" w:rsidP="00B2536B">
      <w:pPr>
        <w:pStyle w:val="EndnoteText"/>
        <w:jc w:val="both"/>
      </w:pPr>
      <w:r>
        <w:rPr>
          <w:rStyle w:val="EndnoteReference"/>
        </w:rPr>
        <w:endnoteRef/>
      </w:r>
      <w:r>
        <w:t xml:space="preserve"> Cheryl Wischhover, ‘Therry Mugler’s Angel Perfume Celebrates 20 years in the US’, </w:t>
      </w:r>
      <w:r>
        <w:rPr>
          <w:i/>
        </w:rPr>
        <w:t>Fashionista</w:t>
      </w:r>
      <w:r>
        <w:t xml:space="preserve">, 27 February 2013, updated 10 April 2014, </w:t>
      </w:r>
      <w:hyperlink r:id="rId9" w:history="1">
        <w:r w:rsidRPr="00F86CE9">
          <w:rPr>
            <w:rStyle w:val="Hyperlink"/>
          </w:rPr>
          <w:t>https://fashionista.com/2013/02/thierry-muglers-angel-perfume-celebrates-20-years-in-the-us-a-look-back-at-the-scent-and-the-fashion-behind-it</w:t>
        </w:r>
      </w:hyperlink>
      <w:r>
        <w:t xml:space="preserve"> (accessed 21 November 2019).</w:t>
      </w:r>
    </w:p>
  </w:endnote>
  <w:endnote w:id="31">
    <w:p w14:paraId="01C3BAE2" w14:textId="77777777" w:rsidR="00981D94" w:rsidRPr="00F8122B" w:rsidRDefault="00981D94" w:rsidP="00B2536B">
      <w:pPr>
        <w:spacing w:after="0" w:line="240" w:lineRule="auto"/>
        <w:jc w:val="both"/>
        <w:rPr>
          <w:sz w:val="20"/>
          <w:szCs w:val="20"/>
        </w:rPr>
      </w:pPr>
      <w:r w:rsidRPr="00F8122B">
        <w:rPr>
          <w:rStyle w:val="EndnoteReference"/>
          <w:sz w:val="20"/>
          <w:szCs w:val="20"/>
        </w:rPr>
        <w:endnoteRef/>
      </w:r>
      <w:r w:rsidRPr="00F8122B">
        <w:rPr>
          <w:sz w:val="20"/>
          <w:szCs w:val="20"/>
        </w:rPr>
        <w:t xml:space="preserve"> Jenny Stocks, ‘Plump up your pout: Bee-stung lips make women seem younger say scientists, here’s how you can look swell …’, </w:t>
      </w:r>
      <w:r w:rsidRPr="00F8122B">
        <w:rPr>
          <w:i/>
          <w:iCs/>
          <w:sz w:val="20"/>
          <w:szCs w:val="20"/>
        </w:rPr>
        <w:t>Daily Mail</w:t>
      </w:r>
      <w:r w:rsidRPr="00F8122B">
        <w:rPr>
          <w:sz w:val="20"/>
          <w:szCs w:val="20"/>
        </w:rPr>
        <w:t xml:space="preserve">, 14 January 2010, </w:t>
      </w:r>
      <w:hyperlink r:id="rId10" w:history="1">
        <w:r w:rsidRPr="00F8122B">
          <w:rPr>
            <w:rStyle w:val="Hyperlink"/>
            <w:sz w:val="20"/>
            <w:szCs w:val="20"/>
          </w:rPr>
          <w:t>https://www.dailymail.co.uk/femail/beauty/article-1243038/Plump-pout-Bee-stung-lips-make-women-younger-say-scientists-heres-look-swell-.html</w:t>
        </w:r>
      </w:hyperlink>
      <w:r w:rsidRPr="00F8122B">
        <w:rPr>
          <w:sz w:val="20"/>
          <w:szCs w:val="20"/>
        </w:rPr>
        <w:t xml:space="preserve"> (accessed 31 October 2011).</w:t>
      </w:r>
    </w:p>
  </w:endnote>
  <w:endnote w:id="32">
    <w:p w14:paraId="0529138C" w14:textId="0C2EE798" w:rsidR="00981D94" w:rsidRPr="00F8122B" w:rsidRDefault="00981D94" w:rsidP="00B2536B">
      <w:pPr>
        <w:pStyle w:val="EndnoteText"/>
        <w:jc w:val="both"/>
      </w:pPr>
      <w:r w:rsidRPr="00F8122B">
        <w:rPr>
          <w:rStyle w:val="EndnoteReference"/>
        </w:rPr>
        <w:endnoteRef/>
      </w:r>
      <w:r w:rsidRPr="00F8122B">
        <w:t xml:space="preserve"> Sophia Phan, ‘Everything you need to know before microblading your eyebrows’, </w:t>
      </w:r>
      <w:r w:rsidRPr="00F8122B">
        <w:rPr>
          <w:i/>
          <w:iCs/>
        </w:rPr>
        <w:t>Sydney Morning Herald</w:t>
      </w:r>
      <w:r w:rsidRPr="00F8122B">
        <w:t xml:space="preserve">, 26 June 2019, </w:t>
      </w:r>
      <w:hyperlink r:id="rId11" w:history="1">
        <w:r w:rsidRPr="00F8122B">
          <w:rPr>
            <w:rStyle w:val="Hyperlink"/>
          </w:rPr>
          <w:t>https://www.smh.com.au/lifestyle/beauty/all-the-things-i-wish-i-knew-before-i-paid-1000-to-get-my-eyebrows-done-20190621-p51zup.html</w:t>
        </w:r>
      </w:hyperlink>
      <w:r w:rsidRPr="00F8122B">
        <w:t xml:space="preserve"> (accessed 26 June 2019).</w:t>
      </w:r>
    </w:p>
  </w:endnote>
  <w:endnote w:id="33">
    <w:p w14:paraId="7A616A3D" w14:textId="654F9CD2" w:rsidR="00981D94" w:rsidRDefault="00981D94" w:rsidP="00B2536B">
      <w:pPr>
        <w:pStyle w:val="EndnoteText"/>
        <w:jc w:val="both"/>
      </w:pPr>
      <w:r>
        <w:rPr>
          <w:rStyle w:val="EndnoteReference"/>
        </w:rPr>
        <w:endnoteRef/>
      </w:r>
      <w:r>
        <w:t xml:space="preserve"> </w:t>
      </w:r>
      <w:r w:rsidRPr="00F8122B">
        <w:t xml:space="preserve">‘Own Your Look’, </w:t>
      </w:r>
      <w:r w:rsidRPr="00F8122B">
        <w:rPr>
          <w:i/>
          <w:iCs/>
        </w:rPr>
        <w:t>Botox Cosmetic</w:t>
      </w:r>
      <w:r w:rsidRPr="00F8122B">
        <w:t xml:space="preserve">, </w:t>
      </w:r>
      <w:hyperlink r:id="rId12" w:history="1">
        <w:r w:rsidRPr="00F8122B">
          <w:rPr>
            <w:rStyle w:val="Hyperlink"/>
          </w:rPr>
          <w:t>https://www.botoxcosmetic.com/home.aspx</w:t>
        </w:r>
      </w:hyperlink>
      <w:r w:rsidRPr="00F8122B">
        <w:t xml:space="preserve"> (accessed 2 November 2011).</w:t>
      </w:r>
    </w:p>
  </w:endnote>
  <w:endnote w:id="34">
    <w:p w14:paraId="38055B3B" w14:textId="21A8A947" w:rsidR="00981D94" w:rsidRPr="00F8122B" w:rsidRDefault="00981D94" w:rsidP="00B2536B">
      <w:pPr>
        <w:pStyle w:val="EndnoteText"/>
        <w:jc w:val="both"/>
      </w:pPr>
      <w:r w:rsidRPr="00F8122B">
        <w:rPr>
          <w:rStyle w:val="EndnoteReference"/>
        </w:rPr>
        <w:endnoteRef/>
      </w:r>
      <w:r w:rsidRPr="00F8122B">
        <w:t xml:space="preserve"> </w:t>
      </w:r>
      <w:r>
        <w:t>Ibid</w:t>
      </w:r>
      <w:r w:rsidRPr="00F8122B">
        <w:t>.</w:t>
      </w:r>
    </w:p>
  </w:endnote>
  <w:endnote w:id="35">
    <w:p w14:paraId="6103BB60" w14:textId="52A32282" w:rsidR="00981D94" w:rsidRPr="00F8122B" w:rsidRDefault="00981D94" w:rsidP="00F8122B">
      <w:pPr>
        <w:pStyle w:val="EndnoteText"/>
        <w:jc w:val="both"/>
      </w:pPr>
      <w:r w:rsidRPr="00F8122B">
        <w:rPr>
          <w:rStyle w:val="EndnoteReference"/>
        </w:rPr>
        <w:endnoteRef/>
      </w:r>
      <w:r w:rsidRPr="00F8122B">
        <w:t xml:space="preserve"> Ibid.</w:t>
      </w:r>
    </w:p>
  </w:endnote>
  <w:endnote w:id="36">
    <w:p w14:paraId="202BE940" w14:textId="5181CEC3" w:rsidR="00981D94" w:rsidRPr="00F8122B" w:rsidRDefault="00981D94" w:rsidP="00F8122B">
      <w:pPr>
        <w:pStyle w:val="EndnoteText"/>
        <w:jc w:val="both"/>
      </w:pPr>
      <w:r w:rsidRPr="00F8122B">
        <w:rPr>
          <w:rStyle w:val="EndnoteReference"/>
        </w:rPr>
        <w:endnoteRef/>
      </w:r>
      <w:r w:rsidRPr="00F8122B">
        <w:t xml:space="preserve"> Ibid.</w:t>
      </w:r>
    </w:p>
  </w:endnote>
  <w:endnote w:id="37">
    <w:p w14:paraId="7FA8800B" w14:textId="5E93C51F" w:rsidR="00981D94" w:rsidRPr="00F8122B" w:rsidRDefault="00981D94" w:rsidP="00F8122B">
      <w:pPr>
        <w:pStyle w:val="EndnoteText"/>
        <w:jc w:val="both"/>
      </w:pPr>
      <w:r w:rsidRPr="00F8122B">
        <w:rPr>
          <w:rStyle w:val="EndnoteReference"/>
        </w:rPr>
        <w:endnoteRef/>
      </w:r>
      <w:r w:rsidRPr="00F8122B">
        <w:t xml:space="preserve"> ‘Own Your Look’, </w:t>
      </w:r>
      <w:r w:rsidRPr="00F8122B">
        <w:rPr>
          <w:i/>
          <w:iCs/>
        </w:rPr>
        <w:t>Botox Cosmetic</w:t>
      </w:r>
      <w:r w:rsidRPr="00F8122B">
        <w:t xml:space="preserve">, </w:t>
      </w:r>
      <w:hyperlink r:id="rId13" w:history="1">
        <w:r w:rsidRPr="00F8122B">
          <w:rPr>
            <w:rStyle w:val="Hyperlink"/>
          </w:rPr>
          <w:t>https://www.botoxcosmetic.com/home.aspx</w:t>
        </w:r>
      </w:hyperlink>
      <w:r w:rsidRPr="00F8122B">
        <w:t xml:space="preserve"> (accessed 2 May 2019).</w:t>
      </w:r>
    </w:p>
    <w:p w14:paraId="16D13884" w14:textId="4BCCEE47" w:rsidR="00981D94" w:rsidRPr="00F8122B" w:rsidRDefault="00981D94" w:rsidP="00F8122B">
      <w:pPr>
        <w:pStyle w:val="EndnoteText"/>
        <w:jc w:val="both"/>
      </w:pPr>
      <w:r w:rsidRPr="00F8122B">
        <w:rPr>
          <w:rStyle w:val="EndnoteReference"/>
        </w:rPr>
        <w:endnoteRef/>
      </w:r>
      <w:r w:rsidRPr="00F8122B">
        <w:t xml:space="preserve"> Ibid.</w:t>
      </w:r>
    </w:p>
  </w:endnote>
  <w:endnote w:id="38">
    <w:p w14:paraId="4B0463F6" w14:textId="0649285E" w:rsidR="00981D94" w:rsidRPr="00F8122B" w:rsidRDefault="00981D94" w:rsidP="00F8122B">
      <w:pPr>
        <w:pStyle w:val="EndnoteText"/>
        <w:jc w:val="both"/>
      </w:pPr>
      <w:r w:rsidRPr="00F8122B">
        <w:rPr>
          <w:rStyle w:val="EndnoteReference"/>
        </w:rPr>
        <w:endnoteRef/>
      </w:r>
      <w:r w:rsidRPr="00F8122B">
        <w:t xml:space="preserve"> Ibid.</w:t>
      </w:r>
    </w:p>
  </w:endnote>
  <w:endnote w:id="39">
    <w:p w14:paraId="5094687C" w14:textId="6B14F877" w:rsidR="00981D94" w:rsidRDefault="00981D94" w:rsidP="007073F9">
      <w:pPr>
        <w:pStyle w:val="EndnoteText"/>
        <w:jc w:val="both"/>
      </w:pPr>
      <w:r>
        <w:rPr>
          <w:rStyle w:val="EndnoteReference"/>
        </w:rPr>
        <w:endnoteRef/>
      </w:r>
      <w:r>
        <w:t xml:space="preserve"> Withdrawal of the United Kingdom from the European Union may affect this provision, however, so long as it remains in the Act it remains operative.</w:t>
      </w:r>
    </w:p>
  </w:endnote>
  <w:endnote w:id="40">
    <w:p w14:paraId="7412BAEC" w14:textId="30A83CD6" w:rsidR="00981D94" w:rsidRPr="0065239F" w:rsidRDefault="00981D94" w:rsidP="00296B82">
      <w:pPr>
        <w:pStyle w:val="EndnoteText"/>
        <w:jc w:val="both"/>
      </w:pPr>
      <w:r>
        <w:rPr>
          <w:rStyle w:val="EndnoteReference"/>
        </w:rPr>
        <w:endnoteRef/>
      </w:r>
      <w:r>
        <w:t xml:space="preserve"> </w:t>
      </w:r>
      <w:r>
        <w:rPr>
          <w:i/>
        </w:rPr>
        <w:t xml:space="preserve">Wilkes v DePuy </w:t>
      </w:r>
      <w:r>
        <w:t>(2016) EWH 3096 (QB).</w:t>
      </w:r>
    </w:p>
  </w:endnote>
  <w:endnote w:id="41">
    <w:p w14:paraId="5E1B5C07" w14:textId="221B87AB" w:rsidR="00981D94" w:rsidRPr="00296B82" w:rsidRDefault="00981D94" w:rsidP="007D7345">
      <w:pPr>
        <w:pStyle w:val="EndnoteText"/>
        <w:jc w:val="both"/>
      </w:pPr>
      <w:r>
        <w:rPr>
          <w:rStyle w:val="EndnoteReference"/>
        </w:rPr>
        <w:endnoteRef/>
      </w:r>
      <w:r>
        <w:t xml:space="preserve"> </w:t>
      </w:r>
      <w:r>
        <w:rPr>
          <w:i/>
          <w:iCs/>
        </w:rPr>
        <w:t xml:space="preserve">A v National Blood Authority </w:t>
      </w:r>
      <w:r>
        <w:t>[2001] 3 All ER 289.</w:t>
      </w:r>
    </w:p>
  </w:endnote>
  <w:endnote w:id="42">
    <w:p w14:paraId="41504D6F" w14:textId="77777777" w:rsidR="00981D94" w:rsidRDefault="00981D94" w:rsidP="007D7345">
      <w:pPr>
        <w:pStyle w:val="EndnoteText"/>
        <w:jc w:val="both"/>
      </w:pPr>
      <w:r>
        <w:rPr>
          <w:rStyle w:val="EndnoteReference"/>
        </w:rPr>
        <w:endnoteRef/>
      </w:r>
      <w:r>
        <w:t xml:space="preserve"> Ibid, at para [31].</w:t>
      </w:r>
    </w:p>
  </w:endnote>
  <w:endnote w:id="43">
    <w:p w14:paraId="1FA08695" w14:textId="0FFDEE25" w:rsidR="00981D94" w:rsidRDefault="00981D94" w:rsidP="007D7345">
      <w:pPr>
        <w:pStyle w:val="EndnoteText"/>
        <w:jc w:val="both"/>
      </w:pPr>
      <w:r>
        <w:rPr>
          <w:rStyle w:val="EndnoteReference"/>
        </w:rPr>
        <w:endnoteRef/>
      </w:r>
      <w:r>
        <w:t xml:space="preserve"> Ibid, at para [31].</w:t>
      </w:r>
    </w:p>
  </w:endnote>
  <w:endnote w:id="44">
    <w:p w14:paraId="030F80BD" w14:textId="00F54E3F" w:rsidR="00981D94" w:rsidRPr="00FA0C27" w:rsidRDefault="00981D94" w:rsidP="00CC76BB">
      <w:pPr>
        <w:pStyle w:val="EndnoteText"/>
        <w:jc w:val="both"/>
      </w:pPr>
      <w:r>
        <w:rPr>
          <w:rStyle w:val="EndnoteReference"/>
        </w:rPr>
        <w:endnoteRef/>
      </w:r>
      <w:r>
        <w:t xml:space="preserve"> </w:t>
      </w:r>
      <w:r>
        <w:rPr>
          <w:i/>
          <w:iCs/>
        </w:rPr>
        <w:t>Wilkes v DePuy</w:t>
      </w:r>
      <w:r>
        <w:t>, at para [72].</w:t>
      </w:r>
    </w:p>
  </w:endnote>
  <w:endnote w:id="45">
    <w:p w14:paraId="0D73B381" w14:textId="18AD2EF0" w:rsidR="00981D94" w:rsidRPr="00CC76BB" w:rsidRDefault="00981D94" w:rsidP="00866ABB">
      <w:pPr>
        <w:pStyle w:val="EndnoteText"/>
        <w:jc w:val="both"/>
      </w:pPr>
      <w:r>
        <w:rPr>
          <w:rStyle w:val="EndnoteReference"/>
        </w:rPr>
        <w:endnoteRef/>
      </w:r>
      <w:r>
        <w:t xml:space="preserve"> Victoria Handley, </w:t>
      </w:r>
      <w:r>
        <w:rPr>
          <w:i/>
          <w:iCs/>
        </w:rPr>
        <w:t>A Practical Guide to Cosmetic Surgery Claims</w:t>
      </w:r>
      <w:r>
        <w:t>, Law Brief Publishing, Somerset, UK, 2017.</w:t>
      </w:r>
    </w:p>
  </w:endnote>
  <w:endnote w:id="46">
    <w:p w14:paraId="060A8270" w14:textId="22A75BE7" w:rsidR="00981D94" w:rsidRDefault="00981D94" w:rsidP="00050B1F">
      <w:pPr>
        <w:pStyle w:val="EndnoteText"/>
        <w:jc w:val="both"/>
      </w:pPr>
      <w:r>
        <w:rPr>
          <w:rStyle w:val="EndnoteReference"/>
        </w:rPr>
        <w:endnoteRef/>
      </w:r>
      <w:r>
        <w:t xml:space="preserve"> Ibid, p. 47.</w:t>
      </w:r>
    </w:p>
  </w:endnote>
  <w:endnote w:id="47">
    <w:p w14:paraId="493DD5E3" w14:textId="4E853096" w:rsidR="00981D94" w:rsidRPr="00050B1F" w:rsidRDefault="00981D94" w:rsidP="00C0148F">
      <w:pPr>
        <w:pStyle w:val="EndnoteText"/>
        <w:jc w:val="both"/>
      </w:pPr>
      <w:r>
        <w:rPr>
          <w:rStyle w:val="EndnoteReference"/>
        </w:rPr>
        <w:endnoteRef/>
      </w:r>
      <w:r>
        <w:t xml:space="preserve"> </w:t>
      </w:r>
      <w:r>
        <w:rPr>
          <w:i/>
          <w:iCs/>
        </w:rPr>
        <w:t xml:space="preserve">Ide v ATB Sales Limited </w:t>
      </w:r>
      <w:r>
        <w:t>(2008) EWCA Civ 414.</w:t>
      </w:r>
    </w:p>
  </w:endnote>
  <w:endnote w:id="48">
    <w:p w14:paraId="0337F269" w14:textId="66A5B891" w:rsidR="00981D94" w:rsidRDefault="00981D94" w:rsidP="00C0148F">
      <w:pPr>
        <w:pStyle w:val="EndnoteText"/>
        <w:jc w:val="both"/>
      </w:pPr>
      <w:r>
        <w:rPr>
          <w:rStyle w:val="EndnoteReference"/>
        </w:rPr>
        <w:endnoteRef/>
      </w:r>
      <w:r>
        <w:t xml:space="preserve"> Ibid.</w:t>
      </w:r>
    </w:p>
  </w:endnote>
  <w:endnote w:id="49">
    <w:p w14:paraId="41A5C25D" w14:textId="5DFF54AB" w:rsidR="00981D94" w:rsidRDefault="00981D94" w:rsidP="007D4E5C">
      <w:pPr>
        <w:pStyle w:val="EndnoteText"/>
        <w:jc w:val="both"/>
      </w:pPr>
      <w:r>
        <w:rPr>
          <w:rStyle w:val="EndnoteReference"/>
        </w:rPr>
        <w:endnoteRef/>
      </w:r>
      <w:r>
        <w:t xml:space="preserve"> Medicines and Healthcare Products Regulatory Agency, ‘Counterfeit Medicines: what pharmacists should know’, </w:t>
      </w:r>
      <w:r>
        <w:rPr>
          <w:i/>
          <w:iCs/>
        </w:rPr>
        <w:t>Gov.UK</w:t>
      </w:r>
      <w:r>
        <w:t xml:space="preserve">, 11 December 2014, </w:t>
      </w:r>
      <w:hyperlink r:id="rId14" w:history="1">
        <w:r w:rsidRPr="00D74277">
          <w:rPr>
            <w:rStyle w:val="Hyperlink"/>
          </w:rPr>
          <w:t>https://www.gov.uk/drug-safety-update/counterfeit-medicines-what-pharmacists-should-know</w:t>
        </w:r>
      </w:hyperlink>
      <w:r>
        <w:t xml:space="preserve"> (accessed 19 November 2019); Hetty Tullis, ‘Thirteen Terrifying Dangers of Counterfeit Makeup’, </w:t>
      </w:r>
      <w:r>
        <w:rPr>
          <w:i/>
          <w:iCs/>
        </w:rPr>
        <w:t>The Talko</w:t>
      </w:r>
      <w:r>
        <w:t xml:space="preserve">, </w:t>
      </w:r>
      <w:hyperlink r:id="rId15" w:history="1">
        <w:r w:rsidRPr="00D74277">
          <w:rPr>
            <w:rStyle w:val="Hyperlink"/>
          </w:rPr>
          <w:t>https://www.thetalko.com/13-terrifying-dangers-of-counterfeit-makeup/</w:t>
        </w:r>
      </w:hyperlink>
      <w:r>
        <w:t xml:space="preserve"> (accessed 19 November 2019).</w:t>
      </w:r>
    </w:p>
  </w:endnote>
  <w:endnote w:id="50">
    <w:p w14:paraId="5203305F" w14:textId="5F135B81" w:rsidR="00981D94" w:rsidRPr="00F8122B" w:rsidRDefault="00981D94" w:rsidP="00C0148F">
      <w:pPr>
        <w:pStyle w:val="EndnoteText"/>
        <w:jc w:val="both"/>
      </w:pPr>
      <w:r w:rsidRPr="00F8122B">
        <w:rPr>
          <w:rStyle w:val="EndnoteReference"/>
        </w:rPr>
        <w:endnoteRef/>
      </w:r>
      <w:r w:rsidRPr="00F8122B">
        <w:t xml:space="preserve"> See </w:t>
      </w:r>
      <w:r w:rsidRPr="00F8122B">
        <w:rPr>
          <w:i/>
          <w:iCs/>
        </w:rPr>
        <w:t xml:space="preserve">R v BM </w:t>
      </w:r>
      <w:r w:rsidRPr="00F8122B">
        <w:t xml:space="preserve">[2018] EWC Crim 560;  Samantha Pegg, ‘Not so Clear Cut: The Lawfulness of Body Modifications’, </w:t>
      </w:r>
      <w:r w:rsidRPr="00F8122B">
        <w:rPr>
          <w:i/>
          <w:iCs/>
        </w:rPr>
        <w:t>Criminal Law Review</w:t>
      </w:r>
      <w:r w:rsidRPr="00F8122B">
        <w:t>, 7, 2019, pp. 579-598, and further this chapter 3. The Criminal Body &amp; the Body in Crime.</w:t>
      </w:r>
    </w:p>
  </w:endnote>
  <w:endnote w:id="51">
    <w:p w14:paraId="71874D95" w14:textId="77777777" w:rsidR="00981D94" w:rsidRPr="000811BD" w:rsidRDefault="00981D94" w:rsidP="00866ABB">
      <w:pPr>
        <w:spacing w:after="0" w:line="240" w:lineRule="auto"/>
        <w:jc w:val="both"/>
        <w:rPr>
          <w:sz w:val="20"/>
          <w:szCs w:val="20"/>
        </w:rPr>
      </w:pPr>
      <w:r w:rsidRPr="000811BD">
        <w:rPr>
          <w:rStyle w:val="EndnoteReference"/>
          <w:sz w:val="20"/>
          <w:szCs w:val="20"/>
        </w:rPr>
        <w:endnoteRef/>
      </w:r>
      <w:r w:rsidRPr="000811BD">
        <w:rPr>
          <w:sz w:val="20"/>
          <w:szCs w:val="20"/>
        </w:rPr>
        <w:t xml:space="preserve"> </w:t>
      </w:r>
      <w:r w:rsidRPr="000811BD">
        <w:rPr>
          <w:i/>
          <w:iCs/>
          <w:sz w:val="20"/>
          <w:szCs w:val="20"/>
        </w:rPr>
        <w:t xml:space="preserve">Schloendorff v Society of New York Hospital </w:t>
      </w:r>
      <w:r w:rsidRPr="000811BD">
        <w:rPr>
          <w:sz w:val="20"/>
          <w:szCs w:val="20"/>
        </w:rPr>
        <w:t>105 NE 92 (NY, 1914).</w:t>
      </w:r>
    </w:p>
  </w:endnote>
  <w:endnote w:id="52">
    <w:p w14:paraId="6EB834E7" w14:textId="77777777" w:rsidR="00981D94" w:rsidRPr="00BC69B2" w:rsidRDefault="00981D94" w:rsidP="00B27986">
      <w:pPr>
        <w:pStyle w:val="EndnoteText"/>
        <w:jc w:val="both"/>
      </w:pPr>
      <w:r>
        <w:rPr>
          <w:rStyle w:val="EndnoteReference"/>
        </w:rPr>
        <w:endnoteRef/>
      </w:r>
      <w:r>
        <w:t xml:space="preserve"> ‘Top 9 Reasons for A Law Suit Against a Hair Salon’, </w:t>
      </w:r>
      <w:r>
        <w:rPr>
          <w:i/>
          <w:iCs/>
        </w:rPr>
        <w:t>Marine Agency Insurance</w:t>
      </w:r>
      <w:r>
        <w:t xml:space="preserve">, </w:t>
      </w:r>
      <w:hyperlink r:id="rId16" w:history="1">
        <w:r w:rsidRPr="00810305">
          <w:rPr>
            <w:rStyle w:val="Hyperlink"/>
          </w:rPr>
          <w:t>https://marineagency.com/top-9-reasons-for-a-lawuit-against-a-hair-salon/</w:t>
        </w:r>
      </w:hyperlink>
      <w:r>
        <w:t xml:space="preserve"> (accessed 1 March 2019)</w:t>
      </w:r>
    </w:p>
  </w:endnote>
  <w:endnote w:id="53">
    <w:p w14:paraId="2BD271CA" w14:textId="6C40CABE" w:rsidR="00981D94" w:rsidRPr="001F54CA" w:rsidRDefault="00981D94" w:rsidP="009977F0">
      <w:pPr>
        <w:pStyle w:val="EndnoteText"/>
        <w:jc w:val="both"/>
      </w:pPr>
      <w:r>
        <w:rPr>
          <w:rStyle w:val="EndnoteReference"/>
        </w:rPr>
        <w:endnoteRef/>
      </w:r>
      <w:r>
        <w:t xml:space="preserve"> ‘Hairdressing Claims – Suing Hairdressers’, </w:t>
      </w:r>
      <w:r>
        <w:rPr>
          <w:i/>
          <w:iCs/>
        </w:rPr>
        <w:t>NHF/NBF</w:t>
      </w:r>
      <w:r>
        <w:t xml:space="preserve">, </w:t>
      </w:r>
      <w:hyperlink r:id="rId17" w:history="1">
        <w:r w:rsidRPr="00810305">
          <w:rPr>
            <w:rStyle w:val="Hyperlink"/>
          </w:rPr>
          <w:t>http://www.hairdressingclaims.co.uk/suing-a-hairdrsser</w:t>
        </w:r>
      </w:hyperlink>
      <w:r>
        <w:t xml:space="preserve"> (accessed 1 March 2019).</w:t>
      </w:r>
    </w:p>
  </w:endnote>
  <w:endnote w:id="54">
    <w:p w14:paraId="43640D34" w14:textId="6A1A9EAC" w:rsidR="00981D94" w:rsidRPr="00044BAD" w:rsidRDefault="00981D94" w:rsidP="009977F0">
      <w:pPr>
        <w:pStyle w:val="EndnoteText"/>
        <w:jc w:val="both"/>
      </w:pPr>
      <w:r>
        <w:rPr>
          <w:rStyle w:val="EndnoteReference"/>
        </w:rPr>
        <w:endnoteRef/>
      </w:r>
      <w:r>
        <w:t xml:space="preserve"> Arty Rajendra and Mary Smillie, ‘Fact Sheet: </w:t>
      </w:r>
      <w:r>
        <w:rPr>
          <w:i/>
          <w:iCs/>
        </w:rPr>
        <w:t>Intellectual property considerations for medical devices</w:t>
      </w:r>
      <w:r>
        <w:t xml:space="preserve">’, </w:t>
      </w:r>
      <w:r>
        <w:rPr>
          <w:i/>
          <w:iCs/>
        </w:rPr>
        <w:t>European IPR Helpdesk</w:t>
      </w:r>
      <w:r>
        <w:t xml:space="preserve">, September 2015, </w:t>
      </w:r>
      <w:hyperlink r:id="rId18" w:history="1">
        <w:r w:rsidRPr="00810305">
          <w:rPr>
            <w:rStyle w:val="Hyperlink"/>
          </w:rPr>
          <w:t>www.iprhelpdesk.eu</w:t>
        </w:r>
      </w:hyperlink>
      <w:r>
        <w:t xml:space="preserve"> (accessed 4 April 2018).</w:t>
      </w:r>
    </w:p>
  </w:endnote>
  <w:endnote w:id="55">
    <w:p w14:paraId="54E30AFC" w14:textId="12635C9F" w:rsidR="00981D94" w:rsidRDefault="00981D94" w:rsidP="00585F64">
      <w:pPr>
        <w:pStyle w:val="EndnoteText"/>
        <w:jc w:val="both"/>
      </w:pPr>
      <w:r>
        <w:rPr>
          <w:rStyle w:val="EndnoteReference"/>
        </w:rPr>
        <w:endnoteRef/>
      </w:r>
      <w:r>
        <w:t xml:space="preserve"> See for example Australian Competition and Consumer Commission (ACCC), ‘Products, Recalls, Report an Unsafe Product, </w:t>
      </w:r>
      <w:r>
        <w:rPr>
          <w:i/>
        </w:rPr>
        <w:t>Product Safety Australia</w:t>
      </w:r>
      <w:r>
        <w:t xml:space="preserve">, </w:t>
      </w:r>
      <w:hyperlink r:id="rId19" w:history="1">
        <w:r w:rsidRPr="00F86CE9">
          <w:rPr>
            <w:rStyle w:val="Hyperlink"/>
          </w:rPr>
          <w:t>https://www.productsafety.gov.au/</w:t>
        </w:r>
      </w:hyperlink>
      <w:r>
        <w:t xml:space="preserve"> (accessed 20 November 2019).</w:t>
      </w:r>
    </w:p>
  </w:endnote>
  <w:endnote w:id="56">
    <w:p w14:paraId="0A9FA8ED" w14:textId="7D4F4895" w:rsidR="00981D94" w:rsidRPr="002D4190" w:rsidRDefault="00981D94" w:rsidP="00585F64">
      <w:pPr>
        <w:pStyle w:val="EndnoteText"/>
        <w:jc w:val="both"/>
      </w:pPr>
      <w:r w:rsidRPr="002D4190">
        <w:rPr>
          <w:rStyle w:val="EndnoteReference"/>
        </w:rPr>
        <w:endnoteRef/>
      </w:r>
      <w:r w:rsidRPr="002D4190">
        <w:t xml:space="preserve"> </w:t>
      </w:r>
      <w:r w:rsidRPr="002D4190">
        <w:rPr>
          <w:i/>
          <w:iCs/>
        </w:rPr>
        <w:t>La Fleur v Cornelis</w:t>
      </w:r>
      <w:r w:rsidRPr="002D4190">
        <w:t xml:space="preserve"> (1979) 28 NBR (2d) 569, NBSC;  see also GT Laurie, SHE Harmon and G. Porter, </w:t>
      </w:r>
      <w:r w:rsidRPr="002D4190">
        <w:rPr>
          <w:i/>
          <w:iCs/>
        </w:rPr>
        <w:t>Mason &amp; McCall Smith’s L</w:t>
      </w:r>
      <w:r>
        <w:rPr>
          <w:i/>
          <w:iCs/>
        </w:rPr>
        <w:t>a</w:t>
      </w:r>
      <w:r w:rsidRPr="002D4190">
        <w:rPr>
          <w:i/>
          <w:iCs/>
        </w:rPr>
        <w:t>w &amp; Medical Ethics</w:t>
      </w:r>
      <w:r w:rsidRPr="002D4190">
        <w:t>, 10</w:t>
      </w:r>
      <w:r w:rsidRPr="002D4190">
        <w:rPr>
          <w:vertAlign w:val="superscript"/>
        </w:rPr>
        <w:t>th</w:t>
      </w:r>
      <w:r w:rsidRPr="002D4190">
        <w:t xml:space="preserve"> edn, Oxford University Press, Oxford, UK, 2016, p.135.</w:t>
      </w:r>
    </w:p>
  </w:endnote>
  <w:endnote w:id="57">
    <w:p w14:paraId="220ADDAC" w14:textId="5992A6EC" w:rsidR="00981D94" w:rsidRDefault="00981D94" w:rsidP="00585F64">
      <w:pPr>
        <w:pStyle w:val="EndnoteText"/>
        <w:jc w:val="both"/>
      </w:pPr>
      <w:r>
        <w:rPr>
          <w:rStyle w:val="EndnoteReference"/>
        </w:rPr>
        <w:endnoteRef/>
      </w:r>
      <w:r>
        <w:t xml:space="preserve"> Laurie, Harmon and Porter, ibid.</w:t>
      </w:r>
    </w:p>
  </w:endnote>
  <w:endnote w:id="58">
    <w:p w14:paraId="3295A76A" w14:textId="7D702A17" w:rsidR="00981D94" w:rsidRDefault="00981D94" w:rsidP="00585F64">
      <w:pPr>
        <w:pStyle w:val="EndnoteText"/>
        <w:jc w:val="both"/>
      </w:pPr>
      <w:r>
        <w:rPr>
          <w:rStyle w:val="EndnoteReference"/>
        </w:rPr>
        <w:endnoteRef/>
      </w:r>
      <w:r>
        <w:t xml:space="preserve"> Ibid.</w:t>
      </w:r>
    </w:p>
  </w:endnote>
  <w:endnote w:id="59">
    <w:p w14:paraId="3A4803A2" w14:textId="09386EDF" w:rsidR="00981D94" w:rsidRPr="002A2E98" w:rsidRDefault="00981D94" w:rsidP="00585F64">
      <w:pPr>
        <w:pStyle w:val="EndnoteText"/>
        <w:jc w:val="both"/>
        <w:rPr>
          <w:i/>
          <w:iCs/>
        </w:rPr>
      </w:pPr>
      <w:r>
        <w:rPr>
          <w:rStyle w:val="EndnoteReference"/>
        </w:rPr>
        <w:endnoteRef/>
      </w:r>
      <w:r>
        <w:t xml:space="preserve"> Ibid, and see </w:t>
      </w:r>
      <w:r>
        <w:rPr>
          <w:i/>
          <w:iCs/>
        </w:rPr>
        <w:t xml:space="preserve">Fairlie v Perth and Kinross Healthcare NHS Trust </w:t>
      </w:r>
      <w:r>
        <w:t>[2001] SCT</w:t>
      </w:r>
      <w:r w:rsidRPr="002A2E98">
        <w:t xml:space="preserve"> (OH</w:t>
      </w:r>
      <w:r>
        <w:t>CS</w:t>
      </w:r>
      <w:r w:rsidRPr="002A2E98">
        <w:t>)</w:t>
      </w:r>
      <w:r>
        <w:t xml:space="preserve">, </w:t>
      </w:r>
      <w:hyperlink r:id="rId20" w:history="1">
        <w:r w:rsidRPr="00810305">
          <w:rPr>
            <w:rStyle w:val="Hyperlink"/>
          </w:rPr>
          <w:t>https://www.scotcourts.gov.uk/search-judgments/judgment?id=667f8aa6-8980-69d2-b500-ff0000d74aa7</w:t>
        </w:r>
      </w:hyperlink>
      <w:r>
        <w:t xml:space="preserve"> (accessed 4 April 2018)</w:t>
      </w:r>
      <w:r w:rsidRPr="002A2E98">
        <w:t>.</w:t>
      </w:r>
    </w:p>
  </w:endnote>
  <w:endnote w:id="60">
    <w:p w14:paraId="444EB983" w14:textId="77777777" w:rsidR="00981D94" w:rsidRPr="00AE3B1B" w:rsidRDefault="00981D94" w:rsidP="00585F64">
      <w:pPr>
        <w:pStyle w:val="EndnoteText"/>
        <w:jc w:val="both"/>
      </w:pPr>
      <w:r>
        <w:rPr>
          <w:rStyle w:val="EndnoteReference"/>
        </w:rPr>
        <w:endnoteRef/>
      </w:r>
      <w:r>
        <w:t xml:space="preserve"> ‘Set up a simple and effective allergy alert testing system with NHF/NBF’, </w:t>
      </w:r>
      <w:r>
        <w:rPr>
          <w:i/>
          <w:iCs/>
        </w:rPr>
        <w:t>NHF/NBF</w:t>
      </w:r>
      <w:r>
        <w:t xml:space="preserve">, </w:t>
      </w:r>
      <w:hyperlink r:id="rId21" w:history="1">
        <w:r w:rsidRPr="00810305">
          <w:rPr>
            <w:rStyle w:val="Hyperlink"/>
          </w:rPr>
          <w:t>https://www.nhf.info/advice-and-resources/blog/health-and-safety/how-to-set-up-our-allergy-alert-system/</w:t>
        </w:r>
      </w:hyperlink>
      <w:r>
        <w:t xml:space="preserve"> (accessed 1 March 2019).</w:t>
      </w:r>
    </w:p>
  </w:endnote>
  <w:endnote w:id="61">
    <w:p w14:paraId="7ADB1FAD" w14:textId="632A9003" w:rsidR="00981D94" w:rsidRPr="006B42F6" w:rsidRDefault="00981D94" w:rsidP="00752D8A">
      <w:pPr>
        <w:spacing w:after="0"/>
        <w:jc w:val="both"/>
        <w:rPr>
          <w:sz w:val="20"/>
          <w:szCs w:val="20"/>
        </w:rPr>
      </w:pPr>
      <w:r w:rsidRPr="006B42F6">
        <w:rPr>
          <w:rStyle w:val="EndnoteReference"/>
          <w:sz w:val="20"/>
          <w:szCs w:val="20"/>
        </w:rPr>
        <w:endnoteRef/>
      </w:r>
      <w:r w:rsidRPr="006B42F6">
        <w:rPr>
          <w:sz w:val="20"/>
          <w:szCs w:val="20"/>
        </w:rPr>
        <w:t xml:space="preserve"> See Bren</w:t>
      </w:r>
      <w:r>
        <w:rPr>
          <w:sz w:val="20"/>
          <w:szCs w:val="20"/>
        </w:rPr>
        <w:t>d</w:t>
      </w:r>
      <w:r w:rsidRPr="006B42F6">
        <w:rPr>
          <w:sz w:val="20"/>
          <w:szCs w:val="20"/>
        </w:rPr>
        <w:t xml:space="preserve">a Lau, ‘Liposuction gone wrong: widower sues doctor, clinic and company to seek damages’, </w:t>
      </w:r>
      <w:r w:rsidRPr="006B42F6">
        <w:rPr>
          <w:i/>
          <w:iCs/>
          <w:sz w:val="20"/>
          <w:szCs w:val="20"/>
        </w:rPr>
        <w:t>Malpractice &amp; Legal</w:t>
      </w:r>
      <w:r w:rsidRPr="006B42F6">
        <w:rPr>
          <w:sz w:val="20"/>
          <w:szCs w:val="20"/>
        </w:rPr>
        <w:t xml:space="preserve">, </w:t>
      </w:r>
      <w:r>
        <w:rPr>
          <w:sz w:val="20"/>
          <w:szCs w:val="20"/>
        </w:rPr>
        <w:t xml:space="preserve">17 August 2016, </w:t>
      </w:r>
      <w:hyperlink r:id="rId22" w:history="1">
        <w:r w:rsidRPr="00810305">
          <w:rPr>
            <w:rStyle w:val="Hyperlink"/>
            <w:sz w:val="20"/>
            <w:szCs w:val="20"/>
          </w:rPr>
          <w:t>https://today.mims.com/liposuction-gone-wrong--widower-sues-doctor--clinic-and-company-to-seek-damages</w:t>
        </w:r>
      </w:hyperlink>
      <w:r w:rsidRPr="006B42F6">
        <w:rPr>
          <w:sz w:val="20"/>
          <w:szCs w:val="20"/>
        </w:rPr>
        <w:t xml:space="preserve"> (accessed </w:t>
      </w:r>
      <w:r>
        <w:rPr>
          <w:sz w:val="20"/>
          <w:szCs w:val="20"/>
        </w:rPr>
        <w:t>18 August 2016</w:t>
      </w:r>
      <w:r w:rsidRPr="006B42F6">
        <w:rPr>
          <w:sz w:val="20"/>
          <w:szCs w:val="20"/>
        </w:rPr>
        <w:t>)</w:t>
      </w:r>
      <w:r>
        <w:rPr>
          <w:sz w:val="20"/>
          <w:szCs w:val="20"/>
        </w:rPr>
        <w:t>.</w:t>
      </w:r>
    </w:p>
  </w:endnote>
  <w:endnote w:id="62">
    <w:p w14:paraId="5F104E40" w14:textId="51F5C45C" w:rsidR="00981D94" w:rsidRDefault="00981D94" w:rsidP="00752D8A">
      <w:pPr>
        <w:pStyle w:val="EndnoteText"/>
        <w:jc w:val="both"/>
      </w:pPr>
      <w:r>
        <w:rPr>
          <w:rStyle w:val="EndnoteReference"/>
        </w:rPr>
        <w:endnoteRef/>
      </w:r>
      <w:r>
        <w:t xml:space="preserve"> Laurie, Harmon and Porter, ibid, pp. 149-150.</w:t>
      </w:r>
    </w:p>
  </w:endnote>
  <w:endnote w:id="63">
    <w:p w14:paraId="59A53C4B" w14:textId="67B2EA0B" w:rsidR="00981D94" w:rsidRDefault="00981D94" w:rsidP="00752D8A">
      <w:pPr>
        <w:spacing w:after="0"/>
        <w:jc w:val="both"/>
      </w:pPr>
      <w:r>
        <w:rPr>
          <w:rStyle w:val="EndnoteReference"/>
        </w:rPr>
        <w:endnoteRef/>
      </w:r>
      <w:r>
        <w:t xml:space="preserve"> </w:t>
      </w:r>
      <w:r w:rsidRPr="002D4190">
        <w:rPr>
          <w:rFonts w:cs="Segoe UI"/>
          <w:i/>
          <w:iCs/>
          <w:color w:val="212529"/>
          <w:sz w:val="20"/>
          <w:szCs w:val="20"/>
          <w:lang w:val="en"/>
        </w:rPr>
        <w:t>Bolam v Friern Hospital Management Committee</w:t>
      </w:r>
      <w:r w:rsidRPr="002D4190">
        <w:rPr>
          <w:rFonts w:cs="Segoe UI"/>
          <w:color w:val="212529"/>
          <w:sz w:val="20"/>
          <w:szCs w:val="20"/>
          <w:lang w:val="en"/>
        </w:rPr>
        <w:t xml:space="preserve"> [1957] 1 WLR 583.</w:t>
      </w:r>
    </w:p>
  </w:endnote>
  <w:endnote w:id="64">
    <w:p w14:paraId="3F43E453" w14:textId="34BDB5C5" w:rsidR="00981D94" w:rsidRPr="008059CD" w:rsidRDefault="00981D94" w:rsidP="00CD04BC">
      <w:pPr>
        <w:pStyle w:val="EndnoteText"/>
        <w:jc w:val="both"/>
      </w:pPr>
      <w:r>
        <w:rPr>
          <w:rStyle w:val="EndnoteReference"/>
        </w:rPr>
        <w:endnoteRef/>
      </w:r>
      <w:r>
        <w:t xml:space="preserve">  </w:t>
      </w:r>
      <w:r>
        <w:rPr>
          <w:i/>
          <w:iCs/>
        </w:rPr>
        <w:t>Bolitho v Hackney Health Authority</w:t>
      </w:r>
      <w:r>
        <w:t xml:space="preserve"> [1998] AC 232;  [1997] 4 All ER 771 (HL).</w:t>
      </w:r>
    </w:p>
  </w:endnote>
  <w:endnote w:id="65">
    <w:p w14:paraId="09D37334" w14:textId="65450D6C" w:rsidR="00981D94" w:rsidRPr="00752D8A" w:rsidRDefault="00981D94" w:rsidP="00CD04BC">
      <w:pPr>
        <w:pStyle w:val="EndnoteText"/>
        <w:jc w:val="both"/>
      </w:pPr>
      <w:r>
        <w:rPr>
          <w:rStyle w:val="EndnoteReference"/>
        </w:rPr>
        <w:endnoteRef/>
      </w:r>
      <w:r>
        <w:t xml:space="preserve"> Other jurisdictions have been far more critical and ready to apply a standard that does not simply ground the rules governing medical negligence in ‘medical judgment’. See for example the Australian High Court in </w:t>
      </w:r>
      <w:r>
        <w:rPr>
          <w:i/>
          <w:iCs/>
        </w:rPr>
        <w:t>Rogers v Whitaker</w:t>
      </w:r>
      <w:r>
        <w:t xml:space="preserve"> [1992] HCA 58;  (1992) 175 CLR 479 (19 November 1992).</w:t>
      </w:r>
    </w:p>
  </w:endnote>
  <w:endnote w:id="66">
    <w:p w14:paraId="29CCE4B2" w14:textId="77777777" w:rsidR="00981D94" w:rsidRPr="00694BFD" w:rsidRDefault="00981D94" w:rsidP="00044C32">
      <w:pPr>
        <w:pStyle w:val="EndnoteText"/>
        <w:jc w:val="both"/>
      </w:pPr>
      <w:r>
        <w:rPr>
          <w:rStyle w:val="EndnoteReference"/>
        </w:rPr>
        <w:endnoteRef/>
      </w:r>
      <w:r>
        <w:t xml:space="preserve"> </w:t>
      </w:r>
      <w:r>
        <w:rPr>
          <w:i/>
          <w:iCs/>
        </w:rPr>
        <w:t>Montgomery v Lanarkshire Health Board</w:t>
      </w:r>
      <w:r>
        <w:t xml:space="preserve"> [2015] UKSC 11;  [2015] 2 WLR 768.</w:t>
      </w:r>
    </w:p>
  </w:endnote>
  <w:endnote w:id="67">
    <w:p w14:paraId="4F192145" w14:textId="6E1A0899" w:rsidR="00044C32" w:rsidRDefault="00044C32" w:rsidP="00CF2CDC">
      <w:pPr>
        <w:spacing w:after="0"/>
        <w:jc w:val="both"/>
      </w:pPr>
      <w:r>
        <w:rPr>
          <w:rStyle w:val="EndnoteReference"/>
        </w:rPr>
        <w:endnoteRef/>
      </w:r>
      <w:r>
        <w:t xml:space="preserve"> See </w:t>
      </w:r>
      <w:r w:rsidRPr="008341A4">
        <w:rPr>
          <w:i/>
          <w:iCs/>
          <w:sz w:val="20"/>
          <w:szCs w:val="20"/>
          <w:lang w:val="en"/>
        </w:rPr>
        <w:t>Stevenson, Jordan &amp; Harrison Ltd v MacDonald and Evans</w:t>
      </w:r>
      <w:r w:rsidRPr="008341A4">
        <w:rPr>
          <w:sz w:val="20"/>
          <w:szCs w:val="20"/>
          <w:lang w:val="en"/>
        </w:rPr>
        <w:t xml:space="preserve"> [1952] 1</w:t>
      </w:r>
      <w:r w:rsidR="003A472A">
        <w:rPr>
          <w:sz w:val="20"/>
          <w:szCs w:val="20"/>
          <w:lang w:val="en"/>
        </w:rPr>
        <w:t xml:space="preserve"> </w:t>
      </w:r>
      <w:r w:rsidRPr="008341A4">
        <w:rPr>
          <w:sz w:val="20"/>
          <w:szCs w:val="20"/>
          <w:lang w:val="en"/>
        </w:rPr>
        <w:t>TLR</w:t>
      </w:r>
      <w:r w:rsidR="003A472A">
        <w:rPr>
          <w:sz w:val="20"/>
          <w:szCs w:val="20"/>
          <w:lang w:val="en"/>
        </w:rPr>
        <w:t xml:space="preserve"> </w:t>
      </w:r>
      <w:r w:rsidRPr="008341A4">
        <w:rPr>
          <w:sz w:val="20"/>
          <w:szCs w:val="20"/>
          <w:lang w:val="en"/>
        </w:rPr>
        <w:t xml:space="preserve">101 and </w:t>
      </w:r>
      <w:r w:rsidRPr="008341A4">
        <w:rPr>
          <w:i/>
          <w:iCs/>
          <w:sz w:val="20"/>
          <w:szCs w:val="20"/>
          <w:lang w:val="en"/>
        </w:rPr>
        <w:t>Bank voor Handel en</w:t>
      </w:r>
      <w:r w:rsidRPr="008341A4">
        <w:rPr>
          <w:sz w:val="20"/>
          <w:szCs w:val="20"/>
          <w:lang w:val="en"/>
        </w:rPr>
        <w:t xml:space="preserve"> </w:t>
      </w:r>
      <w:r w:rsidRPr="008341A4">
        <w:rPr>
          <w:i/>
          <w:iCs/>
          <w:sz w:val="20"/>
          <w:szCs w:val="20"/>
          <w:lang w:val="en"/>
        </w:rPr>
        <w:t>Scheepvaart v Slatford</w:t>
      </w:r>
      <w:r w:rsidRPr="008341A4">
        <w:rPr>
          <w:sz w:val="20"/>
          <w:szCs w:val="20"/>
          <w:lang w:val="en"/>
        </w:rPr>
        <w:t xml:space="preserve"> [1953] 1</w:t>
      </w:r>
      <w:r w:rsidR="0087285C">
        <w:rPr>
          <w:sz w:val="20"/>
          <w:szCs w:val="20"/>
          <w:lang w:val="en"/>
        </w:rPr>
        <w:t xml:space="preserve"> </w:t>
      </w:r>
      <w:r w:rsidRPr="008341A4">
        <w:rPr>
          <w:sz w:val="20"/>
          <w:szCs w:val="20"/>
          <w:lang w:val="en"/>
        </w:rPr>
        <w:t>QB</w:t>
      </w:r>
      <w:r w:rsidR="0087285C">
        <w:rPr>
          <w:sz w:val="20"/>
          <w:szCs w:val="20"/>
          <w:lang w:val="en"/>
        </w:rPr>
        <w:t xml:space="preserve"> </w:t>
      </w:r>
      <w:r w:rsidRPr="008341A4">
        <w:rPr>
          <w:sz w:val="20"/>
          <w:szCs w:val="20"/>
          <w:lang w:val="en"/>
        </w:rPr>
        <w:t>248.</w:t>
      </w:r>
    </w:p>
  </w:endnote>
  <w:endnote w:id="68">
    <w:p w14:paraId="4746AAF7" w14:textId="1C4E3AE4" w:rsidR="00CF2CDC" w:rsidRDefault="00CF2CDC" w:rsidP="00CF2CDC">
      <w:pPr>
        <w:pStyle w:val="EndnoteText"/>
        <w:jc w:val="both"/>
      </w:pPr>
      <w:r>
        <w:rPr>
          <w:rStyle w:val="EndnoteReference"/>
        </w:rPr>
        <w:endnoteRef/>
      </w:r>
      <w:r>
        <w:t xml:space="preserve"> </w:t>
      </w:r>
      <w:r>
        <w:rPr>
          <w:i/>
          <w:iCs/>
        </w:rPr>
        <w:t xml:space="preserve">Lee Ting Sang v Chung Chi-Keung </w:t>
      </w:r>
      <w:r>
        <w:t>[1990] 2 AC 374</w:t>
      </w:r>
      <w:r w:rsidR="00B824B5">
        <w:t xml:space="preserve">, </w:t>
      </w:r>
      <w:hyperlink r:id="rId23" w:history="1">
        <w:r w:rsidR="00B824B5" w:rsidRPr="00D74277">
          <w:rPr>
            <w:rStyle w:val="Hyperlink"/>
          </w:rPr>
          <w:t>https://www.casemine.com/judgement/uk/5b2897ce2c94e06b9e19b5b5</w:t>
        </w:r>
      </w:hyperlink>
      <w:r w:rsidR="00B824B5">
        <w:t xml:space="preserve"> (accessed 19 November 2019).</w:t>
      </w:r>
    </w:p>
  </w:endnote>
  <w:endnote w:id="69">
    <w:p w14:paraId="48A6CB03" w14:textId="75E3C0A8" w:rsidR="00CF2CDC" w:rsidRPr="00CF2CDC" w:rsidRDefault="00CF2CDC" w:rsidP="00CF2CDC">
      <w:pPr>
        <w:pStyle w:val="EndnoteText"/>
        <w:jc w:val="both"/>
      </w:pPr>
      <w:r>
        <w:rPr>
          <w:rStyle w:val="EndnoteReference"/>
        </w:rPr>
        <w:endnoteRef/>
      </w:r>
      <w:r>
        <w:t xml:space="preserve"> Ibid;  and see generally Mariel Irvine, </w:t>
      </w:r>
      <w:r>
        <w:rPr>
          <w:i/>
          <w:iCs/>
        </w:rPr>
        <w:t>A Practical Guide to  Vicarious Liability</w:t>
      </w:r>
      <w:r>
        <w:t>, Law Brief Publishing, S</w:t>
      </w:r>
      <w:r w:rsidR="0047732A">
        <w:t>o</w:t>
      </w:r>
      <w:r>
        <w:t>merset, UK, 2018.</w:t>
      </w:r>
    </w:p>
  </w:endnote>
  <w:endnote w:id="70">
    <w:p w14:paraId="3C8B8AD1" w14:textId="4D0FE164" w:rsidR="00B3448C" w:rsidRPr="004B0BE0" w:rsidRDefault="00B3448C" w:rsidP="00DB585E">
      <w:pPr>
        <w:pStyle w:val="EndnoteText"/>
        <w:jc w:val="both"/>
      </w:pPr>
      <w:r>
        <w:rPr>
          <w:rStyle w:val="EndnoteReference"/>
        </w:rPr>
        <w:endnoteRef/>
      </w:r>
      <w:r>
        <w:t xml:space="preserve"> </w:t>
      </w:r>
      <w:r w:rsidRPr="00472EAB">
        <w:rPr>
          <w:rStyle w:val="Emphasis"/>
        </w:rPr>
        <w:t xml:space="preserve">Various Claimants v Catholic Child Welfare Society (the Christian Brothers Case) </w:t>
      </w:r>
      <w:r w:rsidRPr="004B0BE0">
        <w:rPr>
          <w:rStyle w:val="Emphasis"/>
          <w:i w:val="0"/>
          <w:iCs w:val="0"/>
        </w:rPr>
        <w:t>[2010] EWCA Civ 1106</w:t>
      </w:r>
      <w:r w:rsidR="004B0BE0">
        <w:t xml:space="preserve">, </w:t>
      </w:r>
      <w:hyperlink r:id="rId24" w:history="1">
        <w:r w:rsidR="004B0BE0" w:rsidRPr="00D74277">
          <w:rPr>
            <w:rStyle w:val="Hyperlink"/>
          </w:rPr>
          <w:t>https://www.supremecourt.uk/cases/docs/uksc-2010-0230-judgment.pdf</w:t>
        </w:r>
      </w:hyperlink>
      <w:r w:rsidR="004B0BE0">
        <w:t xml:space="preserve"> (accessed 19 November 2019).</w:t>
      </w:r>
    </w:p>
  </w:endnote>
  <w:endnote w:id="71">
    <w:p w14:paraId="0D4906FE" w14:textId="0B4EDF03" w:rsidR="00F5458C" w:rsidRDefault="00F5458C" w:rsidP="008741FC">
      <w:pPr>
        <w:pStyle w:val="EndnoteText"/>
        <w:jc w:val="both"/>
      </w:pPr>
      <w:r>
        <w:rPr>
          <w:rStyle w:val="EndnoteReference"/>
        </w:rPr>
        <w:endnoteRef/>
      </w:r>
      <w:r>
        <w:t xml:space="preserve"> Ibid</w:t>
      </w:r>
      <w:r w:rsidR="0047732A">
        <w:t>, at paras [34] and [35].</w:t>
      </w:r>
    </w:p>
  </w:endnote>
  <w:endnote w:id="72">
    <w:p w14:paraId="59C82B35" w14:textId="3960755B" w:rsidR="008741FC" w:rsidRPr="008741FC" w:rsidRDefault="008741FC" w:rsidP="004B5C05">
      <w:pPr>
        <w:pStyle w:val="EndnoteText"/>
        <w:jc w:val="both"/>
      </w:pPr>
      <w:r>
        <w:rPr>
          <w:rStyle w:val="EndnoteReference"/>
        </w:rPr>
        <w:endnoteRef/>
      </w:r>
      <w:r>
        <w:t xml:space="preserve"> Per Baron Parke in </w:t>
      </w:r>
      <w:r>
        <w:rPr>
          <w:i/>
          <w:iCs/>
        </w:rPr>
        <w:t xml:space="preserve">Joel v Morrison </w:t>
      </w:r>
      <w:r>
        <w:t>(1834) 6 C&amp;P 501</w:t>
      </w:r>
      <w:r w:rsidR="007F2B35">
        <w:t>, at para [5]</w:t>
      </w:r>
      <w:r w:rsidR="0003434D">
        <w:t xml:space="preserve">, </w:t>
      </w:r>
      <w:hyperlink r:id="rId25" w:history="1">
        <w:r w:rsidR="0003434D" w:rsidRPr="00D74277">
          <w:rPr>
            <w:rStyle w:val="Hyperlink"/>
          </w:rPr>
          <w:t>https://www.casemine.com/judgement/uk/5a8ff71f60d03e7f57ea7e6d</w:t>
        </w:r>
      </w:hyperlink>
      <w:r w:rsidR="0003434D">
        <w:t xml:space="preserve"> (accessed 19 November 2019)</w:t>
      </w:r>
      <w:r>
        <w:t>.</w:t>
      </w:r>
    </w:p>
  </w:endnote>
  <w:endnote w:id="73">
    <w:p w14:paraId="51B7FC18" w14:textId="278DA96D" w:rsidR="0085254A" w:rsidRPr="0085254A" w:rsidRDefault="0085254A" w:rsidP="009E1E08">
      <w:pPr>
        <w:pStyle w:val="EndnoteText"/>
        <w:jc w:val="both"/>
        <w:rPr>
          <w:u w:val="single"/>
        </w:rPr>
      </w:pPr>
      <w:r>
        <w:rPr>
          <w:rStyle w:val="EndnoteReference"/>
        </w:rPr>
        <w:endnoteRef/>
      </w:r>
      <w:r>
        <w:t xml:space="preserve"> </w:t>
      </w:r>
      <w:r w:rsidRPr="0085254A">
        <w:rPr>
          <w:i/>
          <w:iCs/>
        </w:rPr>
        <w:t>Rose v Plenty</w:t>
      </w:r>
      <w:r>
        <w:t xml:space="preserve"> [1976] 1 WLR 141.</w:t>
      </w:r>
    </w:p>
  </w:endnote>
  <w:endnote w:id="74">
    <w:p w14:paraId="6619DBCF" w14:textId="43548055" w:rsidR="004B5C05" w:rsidRPr="004B5C05" w:rsidRDefault="004B5C05" w:rsidP="009E1E08">
      <w:pPr>
        <w:pStyle w:val="EndnoteText"/>
        <w:jc w:val="both"/>
        <w:rPr>
          <w:iCs/>
        </w:rPr>
      </w:pPr>
      <w:r>
        <w:rPr>
          <w:rStyle w:val="EndnoteReference"/>
        </w:rPr>
        <w:endnoteRef/>
      </w:r>
      <w:r>
        <w:t xml:space="preserve"> See generally Mariel Irvine, </w:t>
      </w:r>
      <w:r>
        <w:rPr>
          <w:i/>
          <w:iCs/>
        </w:rPr>
        <w:t>A Practical Guide</w:t>
      </w:r>
      <w:r>
        <w:rPr>
          <w:iCs/>
        </w:rPr>
        <w:t>, Law Brief Publishing, Somerset, UK, 2018, pp. 27-32.</w:t>
      </w:r>
    </w:p>
  </w:endnote>
  <w:endnote w:id="75">
    <w:p w14:paraId="04D02BC7" w14:textId="4F19765F" w:rsidR="00A612CE" w:rsidRDefault="00A612CE" w:rsidP="009E1E08">
      <w:pPr>
        <w:pStyle w:val="EndnoteText"/>
        <w:jc w:val="both"/>
      </w:pPr>
      <w:r>
        <w:rPr>
          <w:rStyle w:val="EndnoteReference"/>
        </w:rPr>
        <w:endnoteRef/>
      </w:r>
      <w:r>
        <w:t xml:space="preserve"> Ibid, p. 32.</w:t>
      </w:r>
    </w:p>
  </w:endnote>
  <w:endnote w:id="76">
    <w:p w14:paraId="04B04D7B" w14:textId="55A8FE55" w:rsidR="00154774" w:rsidRPr="00154774" w:rsidRDefault="00154774" w:rsidP="009E1E08">
      <w:pPr>
        <w:pStyle w:val="EndnoteText"/>
        <w:jc w:val="both"/>
      </w:pPr>
      <w:r>
        <w:rPr>
          <w:rStyle w:val="EndnoteReference"/>
        </w:rPr>
        <w:endnoteRef/>
      </w:r>
      <w:r>
        <w:t xml:space="preserve"> </w:t>
      </w:r>
      <w:r>
        <w:rPr>
          <w:i/>
          <w:iCs/>
        </w:rPr>
        <w:t>Salmond on the Law of Torts</w:t>
      </w:r>
      <w:r>
        <w:t xml:space="preserve">, cited Mariel Irvine, </w:t>
      </w:r>
      <w:r>
        <w:rPr>
          <w:i/>
          <w:iCs/>
        </w:rPr>
        <w:t>A Practical Guide</w:t>
      </w:r>
      <w:r>
        <w:t>, ibid, p. 35.</w:t>
      </w:r>
    </w:p>
  </w:endnote>
  <w:endnote w:id="77">
    <w:p w14:paraId="5EF30B7A" w14:textId="26CB5D8E" w:rsidR="00AD5423" w:rsidRPr="009E1E08" w:rsidRDefault="00AD5423" w:rsidP="009E1E08">
      <w:pPr>
        <w:pStyle w:val="EndnoteText"/>
        <w:jc w:val="both"/>
      </w:pPr>
      <w:r>
        <w:rPr>
          <w:rStyle w:val="EndnoteReference"/>
        </w:rPr>
        <w:endnoteRef/>
      </w:r>
      <w:r>
        <w:t xml:space="preserve"> </w:t>
      </w:r>
      <w:r w:rsidR="009E1E08">
        <w:rPr>
          <w:i/>
          <w:iCs/>
        </w:rPr>
        <w:t xml:space="preserve">Harrison v Michelin Tyre Co </w:t>
      </w:r>
      <w:r w:rsidR="009E1E08" w:rsidRPr="009E1E08">
        <w:t xml:space="preserve">[1985] </w:t>
      </w:r>
      <w:r w:rsidR="009E1E08">
        <w:t>1 All ER 918.</w:t>
      </w:r>
    </w:p>
  </w:endnote>
  <w:endnote w:id="78">
    <w:p w14:paraId="69C46E85" w14:textId="5A50C7D0" w:rsidR="009E1E08" w:rsidRPr="009E1E08" w:rsidRDefault="009E1E08" w:rsidP="009E1E08">
      <w:pPr>
        <w:pStyle w:val="EndnoteText"/>
        <w:jc w:val="both"/>
      </w:pPr>
      <w:r>
        <w:rPr>
          <w:rStyle w:val="EndnoteReference"/>
        </w:rPr>
        <w:endnoteRef/>
      </w:r>
      <w:r>
        <w:t xml:space="preserve"> Mariel Irvine, </w:t>
      </w:r>
      <w:r>
        <w:rPr>
          <w:i/>
          <w:iCs/>
        </w:rPr>
        <w:t>A Practical Guide</w:t>
      </w:r>
      <w:r>
        <w:t>, ibid, p. 37.</w:t>
      </w:r>
    </w:p>
  </w:endnote>
  <w:endnote w:id="79">
    <w:p w14:paraId="01C861C7" w14:textId="16291101" w:rsidR="00981D94" w:rsidRPr="004D0B8A" w:rsidRDefault="00981D94" w:rsidP="009E1E08">
      <w:pPr>
        <w:pStyle w:val="EndnoteText"/>
        <w:jc w:val="both"/>
      </w:pPr>
      <w:r>
        <w:rPr>
          <w:rStyle w:val="EndnoteReference"/>
        </w:rPr>
        <w:endnoteRef/>
      </w:r>
      <w:r>
        <w:t xml:space="preserve"> Susie Orbach, </w:t>
      </w:r>
      <w:r>
        <w:rPr>
          <w:i/>
          <w:iCs/>
        </w:rPr>
        <w:t>Bodies</w:t>
      </w:r>
      <w:r>
        <w:t>, Profile Books, London, 2009, 2010, 2016, p. 24.</w:t>
      </w:r>
    </w:p>
  </w:endnote>
  <w:endnote w:id="80">
    <w:p w14:paraId="5A34EF6A" w14:textId="4E22160C" w:rsidR="00981D94" w:rsidRDefault="00981D94" w:rsidP="009E1E08">
      <w:pPr>
        <w:pStyle w:val="EndnoteText"/>
        <w:jc w:val="both"/>
      </w:pPr>
      <w:r>
        <w:rPr>
          <w:rStyle w:val="EndnoteReference"/>
        </w:rPr>
        <w:endnoteRef/>
      </w:r>
      <w:r>
        <w:t xml:space="preserve"> Ibid.</w:t>
      </w:r>
    </w:p>
  </w:endnote>
  <w:endnote w:id="81">
    <w:p w14:paraId="76158FD1" w14:textId="454B68A8" w:rsidR="00981D94" w:rsidRDefault="00981D94" w:rsidP="009E1E08">
      <w:pPr>
        <w:pStyle w:val="EndnoteText"/>
        <w:jc w:val="both"/>
      </w:pPr>
      <w:r>
        <w:rPr>
          <w:rStyle w:val="EndnoteReference"/>
        </w:rPr>
        <w:endnoteRef/>
      </w:r>
      <w:r>
        <w:t xml:space="preserve"> Ibid.</w:t>
      </w:r>
    </w:p>
  </w:endnote>
  <w:endnote w:id="82">
    <w:p w14:paraId="7F867B6B" w14:textId="3804FB9B" w:rsidR="00981D94" w:rsidRPr="002D4190" w:rsidRDefault="00981D94" w:rsidP="009E1E08">
      <w:pPr>
        <w:spacing w:after="0"/>
        <w:jc w:val="both"/>
        <w:rPr>
          <w:sz w:val="20"/>
          <w:szCs w:val="20"/>
        </w:rPr>
      </w:pPr>
      <w:r w:rsidRPr="002D4190">
        <w:rPr>
          <w:rStyle w:val="EndnoteReference"/>
          <w:sz w:val="20"/>
          <w:szCs w:val="20"/>
        </w:rPr>
        <w:endnoteRef/>
      </w:r>
      <w:r w:rsidRPr="002D4190">
        <w:rPr>
          <w:sz w:val="20"/>
          <w:szCs w:val="20"/>
        </w:rPr>
        <w:t xml:space="preserve"> </w:t>
      </w:r>
      <w:r w:rsidRPr="002D4190">
        <w:rPr>
          <w:rFonts w:cs="Segoe UI"/>
          <w:i/>
          <w:iCs/>
          <w:color w:val="212529"/>
          <w:sz w:val="20"/>
          <w:szCs w:val="20"/>
          <w:lang w:val="en"/>
        </w:rPr>
        <w:t>Bolam</w:t>
      </w:r>
      <w:r>
        <w:rPr>
          <w:rFonts w:cs="Segoe UI"/>
          <w:i/>
          <w:iCs/>
          <w:color w:val="212529"/>
          <w:sz w:val="20"/>
          <w:szCs w:val="20"/>
          <w:lang w:val="en"/>
        </w:rPr>
        <w:t xml:space="preserve"> case</w:t>
      </w:r>
      <w:r>
        <w:rPr>
          <w:rFonts w:cs="Segoe UI"/>
          <w:color w:val="212529"/>
          <w:sz w:val="20"/>
          <w:szCs w:val="20"/>
          <w:lang w:val="en"/>
        </w:rPr>
        <w:t>, ibid</w:t>
      </w:r>
      <w:r w:rsidRPr="002D4190">
        <w:rPr>
          <w:rFonts w:cs="Segoe UI"/>
          <w:color w:val="212529"/>
          <w:sz w:val="20"/>
          <w:szCs w:val="20"/>
          <w:lang w:val="en"/>
        </w:rPr>
        <w:t>.</w:t>
      </w:r>
    </w:p>
  </w:endnote>
  <w:endnote w:id="83">
    <w:p w14:paraId="66AAA39D" w14:textId="6C24A0AC" w:rsidR="00981D94" w:rsidRDefault="00981D94" w:rsidP="00CF2CDC">
      <w:pPr>
        <w:pStyle w:val="EndnoteText"/>
        <w:jc w:val="both"/>
      </w:pPr>
      <w:r>
        <w:rPr>
          <w:rStyle w:val="EndnoteReference"/>
        </w:rPr>
        <w:endnoteRef/>
      </w:r>
      <w:r>
        <w:t xml:space="preserve"> On children’s capacity to consent, see </w:t>
      </w:r>
      <w:r>
        <w:rPr>
          <w:i/>
          <w:iCs/>
        </w:rPr>
        <w:t xml:space="preserve">Gillick v West Norfolk and Wisbech Health Authority </w:t>
      </w:r>
      <w:r>
        <w:t>[1984] QB 581;  [1984] 1 All ER 365;  [1985] 3 All ER 402 (HL).</w:t>
      </w:r>
    </w:p>
  </w:endnote>
  <w:endnote w:id="84">
    <w:p w14:paraId="7DA72C9B" w14:textId="1E05069D" w:rsidR="00981D94" w:rsidRPr="00694BFD" w:rsidRDefault="00981D94" w:rsidP="00B64187">
      <w:pPr>
        <w:pStyle w:val="EndnoteText"/>
        <w:jc w:val="both"/>
      </w:pPr>
      <w:r>
        <w:rPr>
          <w:rStyle w:val="EndnoteReference"/>
        </w:rPr>
        <w:endnoteRef/>
      </w:r>
      <w:r>
        <w:t xml:space="preserve"> </w:t>
      </w:r>
      <w:r>
        <w:rPr>
          <w:i/>
          <w:iCs/>
        </w:rPr>
        <w:t>Montgomery v Lanarkshire Health Board</w:t>
      </w:r>
      <w:r>
        <w:t xml:space="preserve"> [2015] UKSC 11;  [2015] 2 WLR 768.</w:t>
      </w:r>
    </w:p>
  </w:endnote>
  <w:endnote w:id="85">
    <w:p w14:paraId="2FE2B0A3" w14:textId="3AA84CBA" w:rsidR="00981D94" w:rsidRPr="00F91499" w:rsidRDefault="00981D94" w:rsidP="003C6AED">
      <w:pPr>
        <w:pStyle w:val="EndnoteText"/>
        <w:jc w:val="both"/>
      </w:pPr>
      <w:r>
        <w:rPr>
          <w:rStyle w:val="EndnoteReference"/>
        </w:rPr>
        <w:endnoteRef/>
      </w:r>
      <w:r>
        <w:t xml:space="preserve"> </w:t>
      </w:r>
      <w:r>
        <w:rPr>
          <w:i/>
          <w:iCs/>
        </w:rPr>
        <w:t xml:space="preserve">Salgo v Leland Stanford Junior University Board of Trustees </w:t>
      </w:r>
      <w:r>
        <w:t>317 P 2d 170 (Cal, 1957</w:t>
      </w:r>
      <w:r w:rsidR="00B604EE">
        <w:t>)</w:t>
      </w:r>
      <w:r>
        <w:t>;  and see Laurie, Harmon and Porter, ibid, pp. 112-113.</w:t>
      </w:r>
    </w:p>
  </w:endnote>
  <w:endnote w:id="86">
    <w:p w14:paraId="025908E0" w14:textId="1CCD7A88" w:rsidR="00981D94" w:rsidRDefault="00981D94" w:rsidP="003C6AED">
      <w:pPr>
        <w:pStyle w:val="EndnoteText"/>
        <w:jc w:val="both"/>
      </w:pPr>
      <w:r>
        <w:rPr>
          <w:rStyle w:val="EndnoteReference"/>
        </w:rPr>
        <w:endnoteRef/>
      </w:r>
      <w:r>
        <w:t xml:space="preserve"> Ibid.</w:t>
      </w:r>
    </w:p>
  </w:endnote>
  <w:endnote w:id="87">
    <w:p w14:paraId="554D9166" w14:textId="51190196" w:rsidR="00981D94" w:rsidRDefault="00981D94" w:rsidP="003C6AED">
      <w:pPr>
        <w:pStyle w:val="EndnoteText"/>
        <w:jc w:val="both"/>
      </w:pPr>
      <w:r>
        <w:rPr>
          <w:rStyle w:val="EndnoteReference"/>
        </w:rPr>
        <w:endnoteRef/>
      </w:r>
      <w:r>
        <w:t xml:space="preserve"> Ibid, p. 114.</w:t>
      </w:r>
    </w:p>
  </w:endnote>
  <w:endnote w:id="88">
    <w:p w14:paraId="4F9A214C" w14:textId="37405577" w:rsidR="00981D94" w:rsidRDefault="00981D94" w:rsidP="003C6AED">
      <w:pPr>
        <w:pStyle w:val="EndnoteText"/>
        <w:jc w:val="both"/>
      </w:pPr>
      <w:r>
        <w:rPr>
          <w:rStyle w:val="EndnoteReference"/>
        </w:rPr>
        <w:endnoteRef/>
      </w:r>
      <w:r>
        <w:t xml:space="preserve"> Ibid, p. 115.</w:t>
      </w:r>
    </w:p>
  </w:endnote>
  <w:endnote w:id="89">
    <w:p w14:paraId="69FDE7B5" w14:textId="5B92E466" w:rsidR="00981D94" w:rsidRPr="00F5732F" w:rsidRDefault="00981D94" w:rsidP="003C6AED">
      <w:pPr>
        <w:pStyle w:val="EndnoteText"/>
        <w:jc w:val="both"/>
        <w:rPr>
          <w:i/>
          <w:iCs/>
        </w:rPr>
      </w:pPr>
      <w:r>
        <w:rPr>
          <w:rStyle w:val="EndnoteReference"/>
        </w:rPr>
        <w:endnoteRef/>
      </w:r>
      <w:r>
        <w:t xml:space="preserve"> Sarah Marsh, ‘Botched cosmetic surgery: law change urged as complaints treble’, </w:t>
      </w:r>
      <w:r>
        <w:rPr>
          <w:i/>
          <w:iCs/>
        </w:rPr>
        <w:t>The Guardian</w:t>
      </w:r>
      <w:r>
        <w:t xml:space="preserve">, 18 February 2018, </w:t>
      </w:r>
      <w:hyperlink r:id="rId26" w:history="1">
        <w:r w:rsidRPr="00F5732F">
          <w:rPr>
            <w:rStyle w:val="Hyperlink"/>
          </w:rPr>
          <w:t>https://www.theguardian.com/lifeandstyle/2018/feb/18/botched-cosmetic-surgery-law-change-urged-as-complaints-treble</w:t>
        </w:r>
      </w:hyperlink>
      <w:r w:rsidRPr="00F5732F">
        <w:t xml:space="preserve">  (accessed 13 March 2019).</w:t>
      </w:r>
    </w:p>
  </w:endnote>
  <w:endnote w:id="90">
    <w:p w14:paraId="69ACB142" w14:textId="5A62EF00" w:rsidR="00981D94" w:rsidRPr="00925C50" w:rsidRDefault="00981D94" w:rsidP="003C6AED">
      <w:pPr>
        <w:pStyle w:val="EndnoteText"/>
        <w:jc w:val="both"/>
      </w:pPr>
      <w:r>
        <w:rPr>
          <w:rStyle w:val="EndnoteReference"/>
        </w:rPr>
        <w:endnoteRef/>
      </w:r>
      <w:r>
        <w:t xml:space="preserve"> ‘Case Study – “It looked like it was migrating from my lips to my face”’, </w:t>
      </w:r>
      <w:r>
        <w:rPr>
          <w:i/>
          <w:iCs/>
        </w:rPr>
        <w:t>The Guardian</w:t>
      </w:r>
      <w:r>
        <w:t xml:space="preserve">, 18 February 2018, </w:t>
      </w:r>
      <w:hyperlink r:id="rId27" w:history="1">
        <w:r w:rsidRPr="00810305">
          <w:rPr>
            <w:rStyle w:val="Hyperlink"/>
          </w:rPr>
          <w:t>https://www.theguardian.com/lifeandstyle/2018/feb/18/botched-cosmetic-surgery-law-change-urged-as-complaints-treble</w:t>
        </w:r>
      </w:hyperlink>
      <w:r>
        <w:t xml:space="preserve"> (accessed 13 March 2019).</w:t>
      </w:r>
    </w:p>
  </w:endnote>
  <w:endnote w:id="91">
    <w:p w14:paraId="02DCC7EE" w14:textId="47A4AF33" w:rsidR="00981D94" w:rsidRPr="00995A0F" w:rsidRDefault="00981D94" w:rsidP="003C6AED">
      <w:pPr>
        <w:pStyle w:val="EndnoteText"/>
        <w:jc w:val="both"/>
      </w:pPr>
      <w:r>
        <w:rPr>
          <w:rStyle w:val="EndnoteReference"/>
        </w:rPr>
        <w:endnoteRef/>
      </w:r>
      <w:r>
        <w:t xml:space="preserve"> Naomi Wolf, </w:t>
      </w:r>
      <w:r>
        <w:rPr>
          <w:i/>
          <w:iCs/>
        </w:rPr>
        <w:t>The Beauty Myth</w:t>
      </w:r>
      <w:r>
        <w:t>, Vintage, New York, NY, USA, 1990.</w:t>
      </w:r>
    </w:p>
  </w:endnote>
  <w:endnote w:id="92">
    <w:p w14:paraId="52E6E84C" w14:textId="140CBA9C" w:rsidR="00981D94" w:rsidRPr="009B208C" w:rsidRDefault="00981D94" w:rsidP="003C6AED">
      <w:pPr>
        <w:pStyle w:val="EndnoteText"/>
        <w:jc w:val="both"/>
      </w:pPr>
      <w:r>
        <w:rPr>
          <w:rStyle w:val="EndnoteReference"/>
        </w:rPr>
        <w:endnoteRef/>
      </w:r>
      <w:r>
        <w:t xml:space="preserve"> Review Committee, </w:t>
      </w:r>
      <w:r>
        <w:rPr>
          <w:i/>
          <w:iCs/>
        </w:rPr>
        <w:t>Final Report: Review of the Regulation of Cosmetic Interventions</w:t>
      </w:r>
      <w:r>
        <w:t xml:space="preserve">, Department of Health, London, UK, 2013 (April), </w:t>
      </w:r>
      <w:hyperlink r:id="rId28" w:history="1">
        <w:r w:rsidRPr="00810305">
          <w:rPr>
            <w:rStyle w:val="Hyperlink"/>
          </w:rPr>
          <w:t>https://assets.publishing.service.gov.uk/government/uploads/system/uploads/attachment_data/file/192028/Review_of_the_Regulation_of_Cosmetic_Interventions.pdf</w:t>
        </w:r>
      </w:hyperlink>
      <w:r>
        <w:t xml:space="preserve"> (accessed 13 May 2016), para 5.5.</w:t>
      </w:r>
    </w:p>
  </w:endnote>
  <w:endnote w:id="93">
    <w:p w14:paraId="22EDCD89" w14:textId="629E3FF6" w:rsidR="00981D94" w:rsidRDefault="00981D94" w:rsidP="009C1E82">
      <w:pPr>
        <w:pStyle w:val="EndnoteText"/>
        <w:jc w:val="both"/>
      </w:pPr>
      <w:r>
        <w:rPr>
          <w:rStyle w:val="EndnoteReference"/>
        </w:rPr>
        <w:endnoteRef/>
      </w:r>
      <w:r>
        <w:t xml:space="preserve"> Ibid.</w:t>
      </w:r>
    </w:p>
  </w:endnote>
  <w:endnote w:id="94">
    <w:p w14:paraId="636552EB" w14:textId="3DAF50D1" w:rsidR="00981D94" w:rsidRPr="00C11F9C" w:rsidRDefault="00981D94" w:rsidP="00AD5423">
      <w:pPr>
        <w:pStyle w:val="EndnoteText"/>
        <w:jc w:val="both"/>
      </w:pPr>
      <w:r>
        <w:rPr>
          <w:rStyle w:val="EndnoteReference"/>
        </w:rPr>
        <w:endnoteRef/>
      </w:r>
      <w:r>
        <w:t xml:space="preserve"> </w:t>
      </w:r>
      <w:r>
        <w:rPr>
          <w:i/>
          <w:iCs/>
        </w:rPr>
        <w:t xml:space="preserve">R v Donovan </w:t>
      </w:r>
      <w:r>
        <w:t>[1934] KB;  [1934] All ER 207.</w:t>
      </w:r>
    </w:p>
  </w:endnote>
  <w:endnote w:id="95">
    <w:p w14:paraId="2DBEAFD6" w14:textId="13C4BF7C" w:rsidR="005E3A52" w:rsidRPr="00C90E64" w:rsidRDefault="005E3A52">
      <w:pPr>
        <w:pStyle w:val="EndnoteText"/>
      </w:pPr>
      <w:r w:rsidRPr="00C90E64">
        <w:rPr>
          <w:rStyle w:val="EndnoteReference"/>
        </w:rPr>
        <w:endnoteRef/>
      </w:r>
      <w:r w:rsidRPr="00C90E64">
        <w:t xml:space="preserve"> </w:t>
      </w:r>
      <w:bookmarkStart w:id="1" w:name="_ftn44"/>
      <w:bookmarkEnd w:id="1"/>
      <w:r w:rsidR="00723589" w:rsidRPr="00C90E64">
        <w:rPr>
          <w:i/>
          <w:iCs/>
        </w:rPr>
        <w:t>R v Emmett</w:t>
      </w:r>
      <w:r w:rsidR="00723589" w:rsidRPr="00C90E64">
        <w:t xml:space="preserve">, </w:t>
      </w:r>
      <w:r w:rsidRPr="00C90E64">
        <w:rPr>
          <w:rFonts w:cs="Times New Roman"/>
          <w:i/>
          <w:iCs/>
          <w:color w:val="333333"/>
        </w:rPr>
        <w:t>Times</w:t>
      </w:r>
      <w:r w:rsidRPr="00C90E64">
        <w:rPr>
          <w:rFonts w:cs="Times New Roman"/>
          <w:color w:val="333333"/>
        </w:rPr>
        <w:t>, October 15, 1999</w:t>
      </w:r>
      <w:r w:rsidR="00723589" w:rsidRPr="00C90E64">
        <w:rPr>
          <w:rFonts w:cs="Times New Roman"/>
          <w:color w:val="333333"/>
        </w:rPr>
        <w:t>.</w:t>
      </w:r>
    </w:p>
  </w:endnote>
  <w:endnote w:id="96">
    <w:p w14:paraId="7DF3E34A" w14:textId="03082429" w:rsidR="00154774" w:rsidRPr="00AD5423" w:rsidRDefault="00154774" w:rsidP="00AD5423">
      <w:pPr>
        <w:pStyle w:val="EndnoteText"/>
        <w:jc w:val="both"/>
      </w:pPr>
      <w:r>
        <w:rPr>
          <w:rStyle w:val="EndnoteReference"/>
        </w:rPr>
        <w:endnoteRef/>
      </w:r>
      <w:r>
        <w:t xml:space="preserve"> </w:t>
      </w:r>
      <w:r w:rsidR="00AD5423">
        <w:rPr>
          <w:i/>
          <w:iCs/>
        </w:rPr>
        <w:t>Harrison v Michelin Tyre Co</w:t>
      </w:r>
      <w:r w:rsidR="00AD5423">
        <w:t xml:space="preserve"> [1985] 1 All ER 918.</w:t>
      </w:r>
    </w:p>
  </w:endnote>
  <w:endnote w:id="97">
    <w:p w14:paraId="22978481" w14:textId="01D3F532" w:rsidR="00981D94" w:rsidRPr="009037B6" w:rsidRDefault="00981D94" w:rsidP="00AD5423">
      <w:pPr>
        <w:pStyle w:val="EndnoteText"/>
        <w:jc w:val="both"/>
      </w:pPr>
      <w:r>
        <w:rPr>
          <w:rStyle w:val="EndnoteReference"/>
        </w:rPr>
        <w:endnoteRef/>
      </w:r>
      <w:r>
        <w:t xml:space="preserve"> </w:t>
      </w:r>
      <w:r>
        <w:rPr>
          <w:i/>
          <w:iCs/>
        </w:rPr>
        <w:t>Montgomery</w:t>
      </w:r>
      <w:r>
        <w:t>, ibid</w:t>
      </w:r>
      <w:r w:rsidR="00154774">
        <w:t>.</w:t>
      </w:r>
    </w:p>
  </w:endnote>
  <w:endnote w:id="98">
    <w:p w14:paraId="5B6DB5F7" w14:textId="41267F70" w:rsidR="00981D94" w:rsidRDefault="00981D94" w:rsidP="009C1E82">
      <w:pPr>
        <w:pStyle w:val="EndnoteText"/>
        <w:jc w:val="both"/>
      </w:pPr>
      <w:r>
        <w:rPr>
          <w:rStyle w:val="EndnoteReference"/>
        </w:rPr>
        <w:endnoteRef/>
      </w:r>
      <w:r>
        <w:t xml:space="preserve"> ‘Tattoo, Piercing and Electrolysis Licence’, </w:t>
      </w:r>
      <w:r>
        <w:rPr>
          <w:i/>
          <w:iCs/>
        </w:rPr>
        <w:t>Gov.uk</w:t>
      </w:r>
      <w:r>
        <w:t xml:space="preserve">, </w:t>
      </w:r>
      <w:hyperlink r:id="rId29" w:history="1">
        <w:r w:rsidRPr="00810305">
          <w:rPr>
            <w:rStyle w:val="Hyperlink"/>
          </w:rPr>
          <w:t>https://www.gov.uk/skin-piercing-and-tattooing</w:t>
        </w:r>
      </w:hyperlink>
      <w:r>
        <w:t xml:space="preserve"> (accessed 12 February 2018).</w:t>
      </w:r>
    </w:p>
  </w:endnote>
  <w:endnote w:id="99">
    <w:p w14:paraId="5602A1FE" w14:textId="5174C64F" w:rsidR="00981D94" w:rsidRPr="00B1017C" w:rsidRDefault="00981D94" w:rsidP="009C1E82">
      <w:pPr>
        <w:pStyle w:val="EndnoteText"/>
        <w:jc w:val="both"/>
        <w:rPr>
          <w:i/>
          <w:iCs/>
        </w:rPr>
      </w:pPr>
      <w:r>
        <w:rPr>
          <w:rStyle w:val="EndnoteReference"/>
        </w:rPr>
        <w:endnoteRef/>
      </w:r>
      <w:r>
        <w:t xml:space="preserve"> </w:t>
      </w:r>
      <w:r>
        <w:rPr>
          <w:i/>
          <w:iCs/>
        </w:rPr>
        <w:t xml:space="preserve">Regina v BM </w:t>
      </w:r>
      <w:r w:rsidRPr="00B1017C">
        <w:t>[2018] EWCA Crim 560;</w:t>
      </w:r>
      <w:r>
        <w:t xml:space="preserve">  see also Samantha Pegg, ‘Not so Clear Cut: The Lawfulness of Body Modifications’, </w:t>
      </w:r>
      <w:r>
        <w:rPr>
          <w:i/>
          <w:iCs/>
        </w:rPr>
        <w:t>The Criminal Law Review</w:t>
      </w:r>
      <w:r>
        <w:t>, issue 7, 2019.</w:t>
      </w:r>
    </w:p>
  </w:endnote>
  <w:endnote w:id="100">
    <w:p w14:paraId="39AD9A6E" w14:textId="0687C465" w:rsidR="00981D94" w:rsidRDefault="00981D94" w:rsidP="009C1E82">
      <w:pPr>
        <w:pStyle w:val="EndnoteText"/>
        <w:jc w:val="both"/>
      </w:pPr>
      <w:r>
        <w:rPr>
          <w:rStyle w:val="EndnoteReference"/>
        </w:rPr>
        <w:endnoteRef/>
      </w:r>
      <w:r>
        <w:t xml:space="preserve"> Ibid, para </w:t>
      </w:r>
      <w:r w:rsidR="00232C66">
        <w:t>[</w:t>
      </w:r>
      <w:r>
        <w:t>23</w:t>
      </w:r>
      <w:r w:rsidR="00232C66">
        <w:t>]</w:t>
      </w:r>
      <w:r>
        <w:t>.</w:t>
      </w:r>
    </w:p>
  </w:endnote>
  <w:endnote w:id="101">
    <w:p w14:paraId="2258A4AE" w14:textId="2D01D3A6" w:rsidR="00981D94" w:rsidRDefault="00981D94" w:rsidP="009C1E82">
      <w:pPr>
        <w:pStyle w:val="EndnoteText"/>
        <w:jc w:val="both"/>
      </w:pPr>
      <w:r>
        <w:rPr>
          <w:rStyle w:val="EndnoteReference"/>
        </w:rPr>
        <w:endnoteRef/>
      </w:r>
      <w:r>
        <w:t xml:space="preserve"> Ibid, para </w:t>
      </w:r>
      <w:r w:rsidR="00232C66">
        <w:t>[</w:t>
      </w:r>
      <w:r>
        <w:t>22</w:t>
      </w:r>
      <w:r w:rsidR="00232C66">
        <w:t>]</w:t>
      </w:r>
      <w:r>
        <w:t>.</w:t>
      </w:r>
    </w:p>
  </w:endnote>
  <w:endnote w:id="102">
    <w:p w14:paraId="3EE6350C" w14:textId="2D173FEF" w:rsidR="00981D94" w:rsidRPr="003C6AED" w:rsidRDefault="00981D94" w:rsidP="009C1E82">
      <w:pPr>
        <w:pStyle w:val="EndnoteText"/>
        <w:jc w:val="both"/>
      </w:pPr>
      <w:r>
        <w:rPr>
          <w:rStyle w:val="EndnoteReference"/>
        </w:rPr>
        <w:endnoteRef/>
      </w:r>
      <w:r>
        <w:t xml:space="preserve"> Ibid, para </w:t>
      </w:r>
      <w:r w:rsidR="00232C66">
        <w:t>[</w:t>
      </w:r>
      <w:r>
        <w:t>23</w:t>
      </w:r>
      <w:r w:rsidR="00232C66">
        <w:t>]</w:t>
      </w:r>
      <w:r>
        <w:t xml:space="preserve">, citing </w:t>
      </w:r>
      <w:r>
        <w:rPr>
          <w:i/>
          <w:iCs/>
        </w:rPr>
        <w:t>Attorney General’s Reference (No 6 of 1980)</w:t>
      </w:r>
      <w:r>
        <w:t xml:space="preserve"> [1981] QB 715;  para 25, citing</w:t>
      </w:r>
      <w:r>
        <w:rPr>
          <w:i/>
          <w:iCs/>
        </w:rPr>
        <w:t xml:space="preserve"> R v Brown</w:t>
      </w:r>
      <w:r>
        <w:t xml:space="preserve"> [1994] AC 122.</w:t>
      </w:r>
    </w:p>
  </w:endnote>
  <w:endnote w:id="103">
    <w:p w14:paraId="6EA1007C" w14:textId="145068FE" w:rsidR="00981D94" w:rsidRPr="00A17E09" w:rsidRDefault="00981D94" w:rsidP="00DD1FD9">
      <w:pPr>
        <w:pStyle w:val="EndnoteText"/>
        <w:jc w:val="both"/>
      </w:pPr>
      <w:r>
        <w:rPr>
          <w:rStyle w:val="EndnoteReference"/>
        </w:rPr>
        <w:endnoteRef/>
      </w:r>
      <w:r>
        <w:t xml:space="preserve"> </w:t>
      </w:r>
      <w:r>
        <w:rPr>
          <w:i/>
          <w:iCs/>
        </w:rPr>
        <w:t xml:space="preserve">R v Brown </w:t>
      </w:r>
      <w:r w:rsidR="00D369FB">
        <w:t xml:space="preserve">[1994] AC 122, </w:t>
      </w:r>
      <w:r>
        <w:t xml:space="preserve">cited para </w:t>
      </w:r>
      <w:r w:rsidR="00D369FB">
        <w:t>[</w:t>
      </w:r>
      <w:r>
        <w:t>28</w:t>
      </w:r>
      <w:r w:rsidR="00D369FB">
        <w:t>]</w:t>
      </w:r>
      <w:r>
        <w:t>.</w:t>
      </w:r>
    </w:p>
  </w:endnote>
  <w:endnote w:id="104">
    <w:p w14:paraId="38A2B284" w14:textId="22330D42" w:rsidR="00981D94" w:rsidRPr="005863C4" w:rsidRDefault="00981D94" w:rsidP="00271864">
      <w:pPr>
        <w:pStyle w:val="EndnoteText"/>
        <w:jc w:val="both"/>
      </w:pPr>
      <w:r>
        <w:rPr>
          <w:rStyle w:val="EndnoteReference"/>
        </w:rPr>
        <w:endnoteRef/>
      </w:r>
      <w:r>
        <w:t xml:space="preserve"> </w:t>
      </w:r>
      <w:r>
        <w:rPr>
          <w:i/>
          <w:iCs/>
        </w:rPr>
        <w:t>Regina v BM</w:t>
      </w:r>
      <w:r>
        <w:t xml:space="preserve"> ibid, para </w:t>
      </w:r>
      <w:r w:rsidR="00520E8B">
        <w:t>[</w:t>
      </w:r>
      <w:r>
        <w:t>34</w:t>
      </w:r>
      <w:r w:rsidR="00520E8B">
        <w:t>]</w:t>
      </w:r>
      <w:r>
        <w:t>.</w:t>
      </w:r>
    </w:p>
  </w:endnote>
  <w:endnote w:id="105">
    <w:p w14:paraId="5BB837B8" w14:textId="2AE78DFD" w:rsidR="00981D94" w:rsidRDefault="00981D94" w:rsidP="00271864">
      <w:pPr>
        <w:pStyle w:val="EndnoteText"/>
        <w:jc w:val="both"/>
      </w:pPr>
      <w:r>
        <w:rPr>
          <w:rStyle w:val="EndnoteReference"/>
        </w:rPr>
        <w:endnoteRef/>
      </w:r>
      <w:r>
        <w:t xml:space="preserve"> Ibid, para </w:t>
      </w:r>
      <w:r w:rsidR="00520E8B">
        <w:t>[</w:t>
      </w:r>
      <w:r>
        <w:t>37</w:t>
      </w:r>
      <w:r w:rsidR="00520E8B">
        <w:t>]</w:t>
      </w:r>
      <w:r>
        <w:t>.</w:t>
      </w:r>
    </w:p>
  </w:endnote>
  <w:endnote w:id="106">
    <w:p w14:paraId="613F75C2" w14:textId="565CFE01" w:rsidR="00981D94" w:rsidRDefault="00981D94" w:rsidP="00271864">
      <w:pPr>
        <w:pStyle w:val="EndnoteText"/>
        <w:jc w:val="both"/>
      </w:pPr>
      <w:r>
        <w:rPr>
          <w:rStyle w:val="EndnoteReference"/>
        </w:rPr>
        <w:endnoteRef/>
      </w:r>
      <w:r>
        <w:t xml:space="preserve"> Ibid, para </w:t>
      </w:r>
      <w:r w:rsidR="00520E8B">
        <w:t>[</w:t>
      </w:r>
      <w:r>
        <w:t>42</w:t>
      </w:r>
      <w:r w:rsidR="00520E8B">
        <w:t>]</w:t>
      </w:r>
      <w:r>
        <w:t>.</w:t>
      </w:r>
    </w:p>
  </w:endnote>
  <w:endnote w:id="107">
    <w:p w14:paraId="31B34917" w14:textId="37C00C9A" w:rsidR="00125AA5" w:rsidRPr="00125AA5" w:rsidRDefault="00125AA5" w:rsidP="00271864">
      <w:pPr>
        <w:pStyle w:val="EndnoteText"/>
        <w:jc w:val="both"/>
      </w:pPr>
      <w:r>
        <w:rPr>
          <w:rStyle w:val="EndnoteReference"/>
        </w:rPr>
        <w:endnoteRef/>
      </w:r>
      <w:r>
        <w:t xml:space="preserve"> </w:t>
      </w:r>
      <w:r>
        <w:rPr>
          <w:i/>
          <w:iCs/>
        </w:rPr>
        <w:t xml:space="preserve">R v Brown </w:t>
      </w:r>
      <w:r>
        <w:t>[1994] AC 122.</w:t>
      </w:r>
    </w:p>
  </w:endnote>
  <w:endnote w:id="108">
    <w:p w14:paraId="0B6681AB" w14:textId="706EC273" w:rsidR="00DE757A" w:rsidRPr="00DE757A" w:rsidRDefault="00DE757A" w:rsidP="00271864">
      <w:pPr>
        <w:spacing w:after="0"/>
        <w:jc w:val="both"/>
      </w:pPr>
      <w:r>
        <w:rPr>
          <w:rStyle w:val="EndnoteReference"/>
        </w:rPr>
        <w:endnoteRef/>
      </w:r>
      <w:r>
        <w:t xml:space="preserve"> </w:t>
      </w:r>
      <w:r>
        <w:rPr>
          <w:i/>
          <w:iCs/>
        </w:rPr>
        <w:t xml:space="preserve"> </w:t>
      </w:r>
      <w:r w:rsidRPr="00020F8F">
        <w:rPr>
          <w:rStyle w:val="Emphasis"/>
          <w:rFonts w:cs="Open Sans"/>
          <w:color w:val="333333"/>
          <w:sz w:val="20"/>
          <w:szCs w:val="20"/>
        </w:rPr>
        <w:t>R v Wilson</w:t>
      </w:r>
      <w:r w:rsidRPr="00020F8F">
        <w:rPr>
          <w:rFonts w:cs="Open Sans"/>
          <w:color w:val="333333"/>
          <w:sz w:val="20"/>
          <w:szCs w:val="20"/>
        </w:rPr>
        <w:t>[1996] Crim LR 573</w:t>
      </w:r>
      <w:r w:rsidR="00F2336B">
        <w:rPr>
          <w:rFonts w:cs="Open Sans"/>
          <w:color w:val="333333"/>
          <w:sz w:val="20"/>
          <w:szCs w:val="20"/>
        </w:rPr>
        <w:t>.</w:t>
      </w:r>
    </w:p>
  </w:endnote>
  <w:endnote w:id="109">
    <w:p w14:paraId="1556988A" w14:textId="3EF99D07" w:rsidR="00271864" w:rsidRPr="00271864" w:rsidRDefault="00271864" w:rsidP="00271864">
      <w:pPr>
        <w:pStyle w:val="EndnoteText"/>
        <w:jc w:val="both"/>
      </w:pPr>
      <w:r>
        <w:rPr>
          <w:rStyle w:val="EndnoteReference"/>
        </w:rPr>
        <w:endnoteRef/>
      </w:r>
      <w:r>
        <w:t xml:space="preserve"> See Lord Slinn’s judgment in </w:t>
      </w:r>
      <w:r>
        <w:rPr>
          <w:i/>
          <w:iCs/>
        </w:rPr>
        <w:t>R v Brown</w:t>
      </w:r>
      <w:r>
        <w:t>, ibid.</w:t>
      </w:r>
    </w:p>
  </w:endnote>
  <w:endnote w:id="110">
    <w:p w14:paraId="4E50FD3A" w14:textId="12B09558" w:rsidR="00F31403" w:rsidRDefault="00F31403" w:rsidP="00F31403">
      <w:pPr>
        <w:pStyle w:val="EndnoteText"/>
        <w:jc w:val="both"/>
      </w:pPr>
      <w:r>
        <w:rPr>
          <w:rStyle w:val="EndnoteReference"/>
        </w:rPr>
        <w:endnoteRef/>
      </w:r>
      <w:r>
        <w:t xml:space="preserve"> </w:t>
      </w:r>
      <w:r w:rsidR="008267DC">
        <w:t>See for example the United States</w:t>
      </w:r>
      <w:r w:rsidR="0042137C">
        <w:t xml:space="preserve"> and</w:t>
      </w:r>
      <w:r w:rsidR="008267DC">
        <w:t xml:space="preserve"> Canada: MDHHS, ‘Body Art Facility Licensure’, </w:t>
      </w:r>
      <w:r w:rsidR="008267DC">
        <w:rPr>
          <w:i/>
          <w:iCs/>
        </w:rPr>
        <w:t>Michigan Department of Health and Human Services</w:t>
      </w:r>
      <w:r w:rsidR="008267DC">
        <w:t xml:space="preserve">, </w:t>
      </w:r>
      <w:hyperlink r:id="rId30" w:history="1">
        <w:r w:rsidR="0042137C" w:rsidRPr="00D74277">
          <w:rPr>
            <w:rStyle w:val="Hyperlink"/>
          </w:rPr>
          <w:t>https://www.michigan.gov/mdhhs/0,5885,7-339-71551_27716_73975---,00.html</w:t>
        </w:r>
      </w:hyperlink>
      <w:r w:rsidR="008267DC">
        <w:t xml:space="preserve"> (accessed 19 November 2019);  </w:t>
      </w:r>
      <w:r w:rsidR="0042137C">
        <w:t xml:space="preserve">Washington State Department of Licenses, ‘How to get your license: body piercing artists’, </w:t>
      </w:r>
      <w:r w:rsidR="0042137C">
        <w:rPr>
          <w:i/>
          <w:iCs/>
        </w:rPr>
        <w:t>Tattoos, body piercing, body art and permanent cosmetics</w:t>
      </w:r>
      <w:r w:rsidR="0042137C">
        <w:t xml:space="preserve">, </w:t>
      </w:r>
      <w:hyperlink r:id="rId31" w:history="1">
        <w:r w:rsidR="0042137C" w:rsidRPr="00D74277">
          <w:rPr>
            <w:rStyle w:val="Hyperlink"/>
          </w:rPr>
          <w:t>https://www.dol.wa.gov/business/tattoo/piercinglicense.html</w:t>
        </w:r>
      </w:hyperlink>
      <w:r w:rsidR="0042137C">
        <w:t xml:space="preserve"> (accessed 19 November 2019);  </w:t>
      </w:r>
      <w:r w:rsidRPr="0042137C">
        <w:t>Winnipeg</w:t>
      </w:r>
      <w:r>
        <w:t xml:space="preserve"> Community Services, ‘Body Modification Establishment’, </w:t>
      </w:r>
      <w:r>
        <w:rPr>
          <w:i/>
          <w:iCs/>
        </w:rPr>
        <w:t>City of Winnipeg</w:t>
      </w:r>
      <w:r>
        <w:t xml:space="preserve">, </w:t>
      </w:r>
      <w:hyperlink r:id="rId32" w:history="1">
        <w:r w:rsidRPr="00D74277">
          <w:rPr>
            <w:rStyle w:val="Hyperlink"/>
          </w:rPr>
          <w:t>https://winnipeg.ca/cms/BLES/LS/business_licenses/body_modification_establishment.stm</w:t>
        </w:r>
      </w:hyperlink>
      <w:r>
        <w:t xml:space="preserve"> (accessed 19 November 2019)</w:t>
      </w:r>
      <w:r w:rsidR="008267DC">
        <w:t>;</w:t>
      </w:r>
      <w:r w:rsidR="0042137C">
        <w:t xml:space="preserve">  </w:t>
      </w:r>
    </w:p>
  </w:endnote>
  <w:endnote w:id="111">
    <w:p w14:paraId="26BB4DD8" w14:textId="043481C1" w:rsidR="00981D94" w:rsidRDefault="00981D94" w:rsidP="00DD1FD9">
      <w:pPr>
        <w:pStyle w:val="EndnoteText"/>
        <w:jc w:val="both"/>
      </w:pPr>
      <w:r>
        <w:rPr>
          <w:rStyle w:val="EndnoteReference"/>
        </w:rPr>
        <w:endnoteRef/>
      </w:r>
      <w:r>
        <w:t xml:space="preserve"> </w:t>
      </w:r>
      <w:r w:rsidR="00233B3F">
        <w:t xml:space="preserve">Samantha </w:t>
      </w:r>
      <w:r>
        <w:t>Begg, pp. 597-598.</w:t>
      </w:r>
    </w:p>
  </w:endnote>
  <w:endnote w:id="112">
    <w:p w14:paraId="430B8232" w14:textId="438CC2CB" w:rsidR="00981D94" w:rsidRDefault="00981D94" w:rsidP="00D54236">
      <w:pPr>
        <w:spacing w:after="0"/>
        <w:jc w:val="both"/>
      </w:pPr>
      <w:r>
        <w:rPr>
          <w:rStyle w:val="EndnoteReference"/>
        </w:rPr>
        <w:endnoteRef/>
      </w:r>
      <w:r>
        <w:t xml:space="preserve"> </w:t>
      </w:r>
      <w:r>
        <w:rPr>
          <w:sz w:val="20"/>
          <w:szCs w:val="20"/>
        </w:rPr>
        <w:t xml:space="preserve">Kat Cooke, ‘Why is Labiaplasty being Compared to Female Genital Mutilation?’ </w:t>
      </w:r>
      <w:r>
        <w:rPr>
          <w:i/>
          <w:iCs/>
          <w:sz w:val="20"/>
          <w:szCs w:val="20"/>
        </w:rPr>
        <w:t>Aesthetics Journal</w:t>
      </w:r>
      <w:r>
        <w:rPr>
          <w:sz w:val="20"/>
          <w:szCs w:val="20"/>
        </w:rPr>
        <w:t xml:space="preserve">, 5 January 2017, </w:t>
      </w:r>
      <w:hyperlink r:id="rId33" w:history="1">
        <w:r w:rsidRPr="00D2776F">
          <w:rPr>
            <w:rStyle w:val="Hyperlink"/>
            <w:sz w:val="20"/>
            <w:szCs w:val="20"/>
          </w:rPr>
          <w:t>https://aestheticsjournal.com/feature/why-is-labiaplasty-being-compared-to-female-genital-mutilation</w:t>
        </w:r>
      </w:hyperlink>
      <w:r w:rsidRPr="00D2776F">
        <w:rPr>
          <w:sz w:val="20"/>
          <w:szCs w:val="20"/>
        </w:rPr>
        <w:t xml:space="preserve"> (accessed </w:t>
      </w:r>
      <w:r>
        <w:rPr>
          <w:sz w:val="20"/>
          <w:szCs w:val="20"/>
        </w:rPr>
        <w:t>4 April 2017).</w:t>
      </w:r>
    </w:p>
  </w:endnote>
  <w:endnote w:id="113">
    <w:p w14:paraId="3B797E62" w14:textId="67B8B6E2" w:rsidR="00981D94" w:rsidRDefault="00981D94" w:rsidP="00D54236">
      <w:pPr>
        <w:pStyle w:val="EndnoteText"/>
        <w:jc w:val="both"/>
      </w:pPr>
      <w:r>
        <w:rPr>
          <w:rStyle w:val="EndnoteReference"/>
        </w:rPr>
        <w:endnoteRef/>
      </w:r>
      <w:r>
        <w:t xml:space="preserve"> S. 1 (1) Offence of female genital mutilation. Not that s. 1 (2) covers a surgical operation in relation to labour or after giving birth if for purposes connected with the labour or birth.</w:t>
      </w:r>
    </w:p>
  </w:endnote>
  <w:endnote w:id="114">
    <w:p w14:paraId="7C6C9DC9" w14:textId="7716B1EF" w:rsidR="00981D94" w:rsidRDefault="00981D94" w:rsidP="00D54236">
      <w:pPr>
        <w:pStyle w:val="EndnoteText"/>
        <w:jc w:val="both"/>
      </w:pPr>
      <w:r>
        <w:rPr>
          <w:rStyle w:val="EndnoteReference"/>
        </w:rPr>
        <w:endnoteRef/>
      </w:r>
      <w:r>
        <w:t xml:space="preserve"> </w:t>
      </w:r>
      <w:r w:rsidR="00627E13">
        <w:t xml:space="preserve">Kat </w:t>
      </w:r>
      <w:r>
        <w:t xml:space="preserve">Cooke, </w:t>
      </w:r>
      <w:r w:rsidR="00627E13">
        <w:t xml:space="preserve">‘Why is Labiaplasty …’. </w:t>
      </w:r>
    </w:p>
  </w:endnote>
  <w:endnote w:id="115">
    <w:p w14:paraId="1372C7F8" w14:textId="77777777" w:rsidR="001844C3" w:rsidRPr="00127396" w:rsidRDefault="001844C3" w:rsidP="00D54236">
      <w:pPr>
        <w:pStyle w:val="EndnoteText"/>
        <w:jc w:val="both"/>
      </w:pPr>
      <w:r>
        <w:rPr>
          <w:rStyle w:val="EndnoteReference"/>
        </w:rPr>
        <w:endnoteRef/>
      </w:r>
      <w:r>
        <w:t xml:space="preserve"> Carmille Nurka, </w:t>
      </w:r>
      <w:r>
        <w:rPr>
          <w:i/>
          <w:iCs/>
        </w:rPr>
        <w:t>Female Genital Cosmetic Surgery – deviance, desire and the pursuit of perfection</w:t>
      </w:r>
      <w:r>
        <w:t>, Palgrave Macmillan, Cham, Switzerland, 2019, p. 3.</w:t>
      </w:r>
    </w:p>
  </w:endnote>
  <w:endnote w:id="116">
    <w:p w14:paraId="0AE2DB54" w14:textId="6F85AA25" w:rsidR="00D54236" w:rsidRDefault="00D54236" w:rsidP="0016103C">
      <w:pPr>
        <w:pStyle w:val="EndnoteText"/>
        <w:jc w:val="both"/>
      </w:pPr>
      <w:r>
        <w:rPr>
          <w:rStyle w:val="EndnoteReference"/>
        </w:rPr>
        <w:endnoteRef/>
      </w:r>
      <w:r>
        <w:t xml:space="preserve"> Ibid, p. 199.</w:t>
      </w:r>
    </w:p>
  </w:endnote>
  <w:endnote w:id="117">
    <w:p w14:paraId="6F75E866" w14:textId="7EFB94B9" w:rsidR="00133FD9" w:rsidRDefault="00133FD9" w:rsidP="004B0234">
      <w:pPr>
        <w:pStyle w:val="EndnoteText"/>
        <w:jc w:val="both"/>
      </w:pPr>
      <w:r>
        <w:rPr>
          <w:rStyle w:val="EndnoteReference"/>
        </w:rPr>
        <w:endnoteRef/>
      </w:r>
      <w:r>
        <w:t xml:space="preserve"> Ibid.</w:t>
      </w:r>
    </w:p>
  </w:endnote>
  <w:endnote w:id="118">
    <w:p w14:paraId="2627AE8A" w14:textId="605166A7" w:rsidR="004B0234" w:rsidRPr="004B0234" w:rsidRDefault="004B0234" w:rsidP="004B0234">
      <w:pPr>
        <w:pStyle w:val="EndnoteText"/>
        <w:jc w:val="both"/>
      </w:pPr>
      <w:r>
        <w:rPr>
          <w:rStyle w:val="EndnoteReference"/>
        </w:rPr>
        <w:endnoteRef/>
      </w:r>
      <w:r>
        <w:t xml:space="preserve"> Liz Conor, </w:t>
      </w:r>
      <w:r>
        <w:rPr>
          <w:i/>
          <w:iCs/>
        </w:rPr>
        <w:t>The Spectacular Modern Woman</w:t>
      </w:r>
      <w:r>
        <w:t>, ibid.</w:t>
      </w:r>
    </w:p>
  </w:endnote>
  <w:endnote w:id="119">
    <w:p w14:paraId="5B6D8BBC" w14:textId="380CB80F" w:rsidR="00981D94" w:rsidRDefault="00981D94" w:rsidP="004B0234">
      <w:pPr>
        <w:pStyle w:val="EndnoteText"/>
        <w:jc w:val="both"/>
      </w:pPr>
      <w:r>
        <w:rPr>
          <w:rStyle w:val="EndnoteReference"/>
        </w:rPr>
        <w:endnoteRef/>
      </w:r>
      <w:r>
        <w:t xml:space="preserve"> </w:t>
      </w:r>
      <w:r w:rsidR="00127396">
        <w:t xml:space="preserve">Kat Cooke, </w:t>
      </w:r>
      <w:r w:rsidR="003A472A">
        <w:t>Ibid.</w:t>
      </w:r>
    </w:p>
  </w:endnote>
  <w:endnote w:id="120">
    <w:p w14:paraId="1E1D8914" w14:textId="69D13541" w:rsidR="00981D94" w:rsidRPr="009C603D" w:rsidRDefault="00981D94" w:rsidP="00D54236">
      <w:pPr>
        <w:pStyle w:val="EndnoteText"/>
        <w:jc w:val="both"/>
      </w:pPr>
      <w:r>
        <w:rPr>
          <w:rStyle w:val="EndnoteReference"/>
        </w:rPr>
        <w:endnoteRef/>
      </w:r>
      <w:r>
        <w:t xml:space="preserve"> Florence Williams, </w:t>
      </w:r>
      <w:r>
        <w:rPr>
          <w:i/>
          <w:iCs/>
        </w:rPr>
        <w:t>Breasts – a natural and unnatural history</w:t>
      </w:r>
      <w:r>
        <w:t>, WW Norton, New York, NY, USA, 2012.</w:t>
      </w:r>
    </w:p>
  </w:endnote>
  <w:endnote w:id="121">
    <w:p w14:paraId="262631B8" w14:textId="77777777" w:rsidR="00981D94" w:rsidRPr="00CD04BC" w:rsidRDefault="00981D94" w:rsidP="00D54236">
      <w:pPr>
        <w:pStyle w:val="EndnoteText"/>
        <w:jc w:val="both"/>
      </w:pPr>
      <w:r>
        <w:rPr>
          <w:rStyle w:val="EndnoteReference"/>
        </w:rPr>
        <w:endnoteRef/>
      </w:r>
      <w:r>
        <w:t xml:space="preserve"> </w:t>
      </w:r>
      <w:r>
        <w:rPr>
          <w:i/>
          <w:iCs/>
        </w:rPr>
        <w:t xml:space="preserve">Gillick v West Norfolk and Wisbech Health Authority </w:t>
      </w:r>
      <w:r>
        <w:t>[1984] QB 581;  [1984] 1 All ER 365;  [1985] 3 All ER 402 (HL).</w:t>
      </w:r>
    </w:p>
  </w:endnote>
  <w:endnote w:id="122">
    <w:p w14:paraId="21C92B1A" w14:textId="313027F7" w:rsidR="00981D94" w:rsidRDefault="00981D94">
      <w:pPr>
        <w:pStyle w:val="EndnoteText"/>
      </w:pPr>
      <w:r>
        <w:rPr>
          <w:rStyle w:val="EndnoteReference"/>
        </w:rPr>
        <w:endnoteRef/>
      </w:r>
      <w:r>
        <w:t xml:space="preserve"> </w:t>
      </w:r>
      <w:r w:rsidR="00233B3F">
        <w:t xml:space="preserve">Susie </w:t>
      </w:r>
      <w:r>
        <w:t>Orbach, ibid.</w:t>
      </w:r>
    </w:p>
  </w:endnote>
  <w:endnote w:id="123">
    <w:p w14:paraId="71278A95" w14:textId="655C5B0E" w:rsidR="00981D94" w:rsidRPr="00AD1433" w:rsidRDefault="00981D94">
      <w:pPr>
        <w:pStyle w:val="EndnoteText"/>
      </w:pPr>
      <w:r>
        <w:rPr>
          <w:rStyle w:val="EndnoteReference"/>
        </w:rPr>
        <w:endnoteRef/>
      </w:r>
      <w:r>
        <w:t xml:space="preserve"> </w:t>
      </w:r>
      <w:r>
        <w:rPr>
          <w:i/>
          <w:iCs/>
        </w:rPr>
        <w:t xml:space="preserve">Edwards v AG of Canada </w:t>
      </w:r>
      <w:r w:rsidRPr="00AD1433">
        <w:t>[1929] UKPC 86;  [1930] AC 143</w:t>
      </w:r>
      <w:r>
        <w:rPr>
          <w:i/>
          <w:iCs/>
        </w:rPr>
        <w:t xml:space="preserve">;  </w:t>
      </w:r>
      <w:r w:rsidRPr="00AD1433">
        <w:rPr>
          <w:i/>
          <w:iCs/>
        </w:rPr>
        <w:t>Edwards v AG of Canada</w:t>
      </w:r>
      <w:r>
        <w:t xml:space="preserve"> </w:t>
      </w:r>
      <w:r w:rsidRPr="00AD1433">
        <w:t xml:space="preserve">[1930] AC 128, </w:t>
      </w:r>
      <w:hyperlink r:id="rId34" w:history="1">
        <w:r w:rsidRPr="00AD1433">
          <w:rPr>
            <w:rStyle w:val="Hyperlink"/>
          </w:rPr>
          <w:t>http://www.bailii.org/uk/cases/UKPC/1929/1929-86-html</w:t>
        </w:r>
      </w:hyperlink>
      <w:r w:rsidRPr="00AD1433">
        <w:t xml:space="preserve"> (accessed 12 May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38B2" w14:textId="77777777" w:rsidR="00981D94" w:rsidRDefault="00981D94" w:rsidP="003F747D">
      <w:pPr>
        <w:spacing w:after="0" w:line="240" w:lineRule="auto"/>
      </w:pPr>
      <w:r>
        <w:separator/>
      </w:r>
    </w:p>
  </w:footnote>
  <w:footnote w:type="continuationSeparator" w:id="0">
    <w:p w14:paraId="7A49C077" w14:textId="77777777" w:rsidR="00981D94" w:rsidRDefault="00981D94" w:rsidP="003F7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7E81"/>
    <w:multiLevelType w:val="hybridMultilevel"/>
    <w:tmpl w:val="BAB68F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708E5"/>
    <w:multiLevelType w:val="hybridMultilevel"/>
    <w:tmpl w:val="C4B25C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B3572"/>
    <w:multiLevelType w:val="hybridMultilevel"/>
    <w:tmpl w:val="33F4A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74F32"/>
    <w:multiLevelType w:val="multilevel"/>
    <w:tmpl w:val="0A3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F7A46"/>
    <w:multiLevelType w:val="hybridMultilevel"/>
    <w:tmpl w:val="4ABEF3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D4B9B"/>
    <w:multiLevelType w:val="hybridMultilevel"/>
    <w:tmpl w:val="72A467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27142"/>
    <w:multiLevelType w:val="hybridMultilevel"/>
    <w:tmpl w:val="7EE0D2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DF4889"/>
    <w:multiLevelType w:val="hybridMultilevel"/>
    <w:tmpl w:val="D15A25B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4699387">
    <w:abstractNumId w:val="6"/>
  </w:num>
  <w:num w:numId="2" w16cid:durableId="1122068829">
    <w:abstractNumId w:val="3"/>
  </w:num>
  <w:num w:numId="3" w16cid:durableId="194539923">
    <w:abstractNumId w:val="1"/>
  </w:num>
  <w:num w:numId="4" w16cid:durableId="821123480">
    <w:abstractNumId w:val="2"/>
  </w:num>
  <w:num w:numId="5" w16cid:durableId="1193610817">
    <w:abstractNumId w:val="7"/>
  </w:num>
  <w:num w:numId="6" w16cid:durableId="1873154769">
    <w:abstractNumId w:val="5"/>
  </w:num>
  <w:num w:numId="7" w16cid:durableId="717125663">
    <w:abstractNumId w:val="4"/>
  </w:num>
  <w:num w:numId="8" w16cid:durableId="137743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B9"/>
    <w:rsid w:val="000039E8"/>
    <w:rsid w:val="000102F6"/>
    <w:rsid w:val="00011EF8"/>
    <w:rsid w:val="00014154"/>
    <w:rsid w:val="00020BB2"/>
    <w:rsid w:val="00030301"/>
    <w:rsid w:val="000332CF"/>
    <w:rsid w:val="0003434D"/>
    <w:rsid w:val="00044C32"/>
    <w:rsid w:val="00050B1F"/>
    <w:rsid w:val="0005720D"/>
    <w:rsid w:val="000633C6"/>
    <w:rsid w:val="0007708F"/>
    <w:rsid w:val="00091366"/>
    <w:rsid w:val="00091369"/>
    <w:rsid w:val="000C6FAE"/>
    <w:rsid w:val="000D3343"/>
    <w:rsid w:val="000D74D9"/>
    <w:rsid w:val="000E3CA1"/>
    <w:rsid w:val="000E5047"/>
    <w:rsid w:val="000E6034"/>
    <w:rsid w:val="000F2326"/>
    <w:rsid w:val="000F57EE"/>
    <w:rsid w:val="00102052"/>
    <w:rsid w:val="001103C8"/>
    <w:rsid w:val="00115C12"/>
    <w:rsid w:val="00116E0A"/>
    <w:rsid w:val="001177AC"/>
    <w:rsid w:val="00120FA8"/>
    <w:rsid w:val="00125AA5"/>
    <w:rsid w:val="00127396"/>
    <w:rsid w:val="00132ADA"/>
    <w:rsid w:val="00133FD9"/>
    <w:rsid w:val="001342AD"/>
    <w:rsid w:val="001348C4"/>
    <w:rsid w:val="00140910"/>
    <w:rsid w:val="001456B7"/>
    <w:rsid w:val="001528EC"/>
    <w:rsid w:val="00154774"/>
    <w:rsid w:val="00157725"/>
    <w:rsid w:val="0016103C"/>
    <w:rsid w:val="00164D20"/>
    <w:rsid w:val="0016633E"/>
    <w:rsid w:val="00170340"/>
    <w:rsid w:val="00171C88"/>
    <w:rsid w:val="00172D89"/>
    <w:rsid w:val="001761CE"/>
    <w:rsid w:val="001844C3"/>
    <w:rsid w:val="00185F8B"/>
    <w:rsid w:val="001871CE"/>
    <w:rsid w:val="00191910"/>
    <w:rsid w:val="001B13CD"/>
    <w:rsid w:val="001C71DC"/>
    <w:rsid w:val="001D3EDE"/>
    <w:rsid w:val="001D44C2"/>
    <w:rsid w:val="001E5D28"/>
    <w:rsid w:val="001F11BF"/>
    <w:rsid w:val="001F2E2C"/>
    <w:rsid w:val="001F7791"/>
    <w:rsid w:val="00201D8F"/>
    <w:rsid w:val="0020610C"/>
    <w:rsid w:val="002172ED"/>
    <w:rsid w:val="00221D96"/>
    <w:rsid w:val="00224D83"/>
    <w:rsid w:val="00232C66"/>
    <w:rsid w:val="00233B3F"/>
    <w:rsid w:val="00234F52"/>
    <w:rsid w:val="00235A0C"/>
    <w:rsid w:val="00236288"/>
    <w:rsid w:val="002471B3"/>
    <w:rsid w:val="00254FAF"/>
    <w:rsid w:val="0025632E"/>
    <w:rsid w:val="00267298"/>
    <w:rsid w:val="00271864"/>
    <w:rsid w:val="0027210A"/>
    <w:rsid w:val="00273740"/>
    <w:rsid w:val="00275106"/>
    <w:rsid w:val="00281977"/>
    <w:rsid w:val="0028702C"/>
    <w:rsid w:val="00287F4C"/>
    <w:rsid w:val="00290A26"/>
    <w:rsid w:val="0029328D"/>
    <w:rsid w:val="00296B82"/>
    <w:rsid w:val="002A2E98"/>
    <w:rsid w:val="002A376D"/>
    <w:rsid w:val="002B075B"/>
    <w:rsid w:val="002B296D"/>
    <w:rsid w:val="002B460B"/>
    <w:rsid w:val="002C0D91"/>
    <w:rsid w:val="002D3C7E"/>
    <w:rsid w:val="002D4190"/>
    <w:rsid w:val="002D56FC"/>
    <w:rsid w:val="002D6DBB"/>
    <w:rsid w:val="002F1DE8"/>
    <w:rsid w:val="00305370"/>
    <w:rsid w:val="0030617D"/>
    <w:rsid w:val="00313F2A"/>
    <w:rsid w:val="00314305"/>
    <w:rsid w:val="00315EBB"/>
    <w:rsid w:val="0032031E"/>
    <w:rsid w:val="00321222"/>
    <w:rsid w:val="00325DB7"/>
    <w:rsid w:val="003262E9"/>
    <w:rsid w:val="003265C5"/>
    <w:rsid w:val="00327A37"/>
    <w:rsid w:val="00327C23"/>
    <w:rsid w:val="00331E61"/>
    <w:rsid w:val="003323A3"/>
    <w:rsid w:val="00333872"/>
    <w:rsid w:val="00333C7D"/>
    <w:rsid w:val="00335A05"/>
    <w:rsid w:val="00335CEC"/>
    <w:rsid w:val="00335E08"/>
    <w:rsid w:val="00336955"/>
    <w:rsid w:val="00336B25"/>
    <w:rsid w:val="00347117"/>
    <w:rsid w:val="00351DA2"/>
    <w:rsid w:val="003558F6"/>
    <w:rsid w:val="00357BC9"/>
    <w:rsid w:val="00360896"/>
    <w:rsid w:val="00365A41"/>
    <w:rsid w:val="00373AB8"/>
    <w:rsid w:val="00375720"/>
    <w:rsid w:val="003757F2"/>
    <w:rsid w:val="00385BA5"/>
    <w:rsid w:val="0038784D"/>
    <w:rsid w:val="00394529"/>
    <w:rsid w:val="003A0FED"/>
    <w:rsid w:val="003A21E3"/>
    <w:rsid w:val="003A472A"/>
    <w:rsid w:val="003A5C4E"/>
    <w:rsid w:val="003C2021"/>
    <w:rsid w:val="003C24A0"/>
    <w:rsid w:val="003C5698"/>
    <w:rsid w:val="003C6AED"/>
    <w:rsid w:val="003D1553"/>
    <w:rsid w:val="003D2A43"/>
    <w:rsid w:val="003D6E8C"/>
    <w:rsid w:val="003D7170"/>
    <w:rsid w:val="003E268B"/>
    <w:rsid w:val="003E39D8"/>
    <w:rsid w:val="003E504A"/>
    <w:rsid w:val="003F12CD"/>
    <w:rsid w:val="003F747D"/>
    <w:rsid w:val="004043C1"/>
    <w:rsid w:val="00411AD2"/>
    <w:rsid w:val="00411F07"/>
    <w:rsid w:val="0041626E"/>
    <w:rsid w:val="0042137C"/>
    <w:rsid w:val="00431859"/>
    <w:rsid w:val="004352BA"/>
    <w:rsid w:val="00442251"/>
    <w:rsid w:val="00457F02"/>
    <w:rsid w:val="00472EAB"/>
    <w:rsid w:val="0047732A"/>
    <w:rsid w:val="00481119"/>
    <w:rsid w:val="00484061"/>
    <w:rsid w:val="00486855"/>
    <w:rsid w:val="00490B7C"/>
    <w:rsid w:val="00491127"/>
    <w:rsid w:val="0049152D"/>
    <w:rsid w:val="00492274"/>
    <w:rsid w:val="00492BED"/>
    <w:rsid w:val="004953BC"/>
    <w:rsid w:val="00495862"/>
    <w:rsid w:val="004A0BB8"/>
    <w:rsid w:val="004A3184"/>
    <w:rsid w:val="004B0234"/>
    <w:rsid w:val="004B0BE0"/>
    <w:rsid w:val="004B2FC7"/>
    <w:rsid w:val="004B5C05"/>
    <w:rsid w:val="004D0B8A"/>
    <w:rsid w:val="004D1246"/>
    <w:rsid w:val="004D1740"/>
    <w:rsid w:val="004E1154"/>
    <w:rsid w:val="004E3718"/>
    <w:rsid w:val="004F45BF"/>
    <w:rsid w:val="0050198A"/>
    <w:rsid w:val="005037C9"/>
    <w:rsid w:val="00512C71"/>
    <w:rsid w:val="00514CC3"/>
    <w:rsid w:val="005179EA"/>
    <w:rsid w:val="00517D6D"/>
    <w:rsid w:val="005207FD"/>
    <w:rsid w:val="00520E8B"/>
    <w:rsid w:val="005221F9"/>
    <w:rsid w:val="005271FE"/>
    <w:rsid w:val="0054145E"/>
    <w:rsid w:val="005439E5"/>
    <w:rsid w:val="00551C0A"/>
    <w:rsid w:val="00564102"/>
    <w:rsid w:val="005650AA"/>
    <w:rsid w:val="0056735B"/>
    <w:rsid w:val="0057074E"/>
    <w:rsid w:val="00571B99"/>
    <w:rsid w:val="005728EC"/>
    <w:rsid w:val="00576D72"/>
    <w:rsid w:val="00580782"/>
    <w:rsid w:val="00585F64"/>
    <w:rsid w:val="005863C4"/>
    <w:rsid w:val="005871DD"/>
    <w:rsid w:val="005916A5"/>
    <w:rsid w:val="0059333B"/>
    <w:rsid w:val="00597DDF"/>
    <w:rsid w:val="005A13E1"/>
    <w:rsid w:val="005A25BF"/>
    <w:rsid w:val="005B29F1"/>
    <w:rsid w:val="005B557F"/>
    <w:rsid w:val="005D16F4"/>
    <w:rsid w:val="005D2C1A"/>
    <w:rsid w:val="005D4508"/>
    <w:rsid w:val="005D450B"/>
    <w:rsid w:val="005D53D3"/>
    <w:rsid w:val="005E325F"/>
    <w:rsid w:val="005E3A52"/>
    <w:rsid w:val="005E489F"/>
    <w:rsid w:val="005F166B"/>
    <w:rsid w:val="00606456"/>
    <w:rsid w:val="006159CF"/>
    <w:rsid w:val="00617DA3"/>
    <w:rsid w:val="00621B9D"/>
    <w:rsid w:val="00622CBF"/>
    <w:rsid w:val="00627E13"/>
    <w:rsid w:val="006406C6"/>
    <w:rsid w:val="0065042B"/>
    <w:rsid w:val="0065239F"/>
    <w:rsid w:val="00654FC9"/>
    <w:rsid w:val="0065685A"/>
    <w:rsid w:val="0066141A"/>
    <w:rsid w:val="00662B8C"/>
    <w:rsid w:val="00664FA9"/>
    <w:rsid w:val="00686B54"/>
    <w:rsid w:val="006875B1"/>
    <w:rsid w:val="00692152"/>
    <w:rsid w:val="00694BFD"/>
    <w:rsid w:val="00695363"/>
    <w:rsid w:val="00696AA4"/>
    <w:rsid w:val="006A0D56"/>
    <w:rsid w:val="006A31B3"/>
    <w:rsid w:val="006B035B"/>
    <w:rsid w:val="006B2FFC"/>
    <w:rsid w:val="006B3940"/>
    <w:rsid w:val="006C00F5"/>
    <w:rsid w:val="006C06E1"/>
    <w:rsid w:val="006C19B0"/>
    <w:rsid w:val="006C3007"/>
    <w:rsid w:val="006D062B"/>
    <w:rsid w:val="006D0CC3"/>
    <w:rsid w:val="006D0E7D"/>
    <w:rsid w:val="006D1974"/>
    <w:rsid w:val="006D3F40"/>
    <w:rsid w:val="006D77ED"/>
    <w:rsid w:val="006E1E02"/>
    <w:rsid w:val="006E1FB0"/>
    <w:rsid w:val="00704D22"/>
    <w:rsid w:val="007073F9"/>
    <w:rsid w:val="00707478"/>
    <w:rsid w:val="00717443"/>
    <w:rsid w:val="007212A0"/>
    <w:rsid w:val="00723589"/>
    <w:rsid w:val="007277F7"/>
    <w:rsid w:val="00730922"/>
    <w:rsid w:val="00751C9F"/>
    <w:rsid w:val="0075233B"/>
    <w:rsid w:val="00752D8A"/>
    <w:rsid w:val="007636E0"/>
    <w:rsid w:val="0076706C"/>
    <w:rsid w:val="00771435"/>
    <w:rsid w:val="007769DE"/>
    <w:rsid w:val="007811F2"/>
    <w:rsid w:val="007813D1"/>
    <w:rsid w:val="00783051"/>
    <w:rsid w:val="00785995"/>
    <w:rsid w:val="00787D49"/>
    <w:rsid w:val="007A023E"/>
    <w:rsid w:val="007A16D1"/>
    <w:rsid w:val="007A2852"/>
    <w:rsid w:val="007A51F7"/>
    <w:rsid w:val="007A67E8"/>
    <w:rsid w:val="007B533F"/>
    <w:rsid w:val="007C338F"/>
    <w:rsid w:val="007C54D2"/>
    <w:rsid w:val="007D2AFD"/>
    <w:rsid w:val="007D4E5C"/>
    <w:rsid w:val="007D7345"/>
    <w:rsid w:val="007D76FA"/>
    <w:rsid w:val="007E252A"/>
    <w:rsid w:val="007F24E1"/>
    <w:rsid w:val="007F2B35"/>
    <w:rsid w:val="008059CD"/>
    <w:rsid w:val="00807325"/>
    <w:rsid w:val="00810EDD"/>
    <w:rsid w:val="0081107B"/>
    <w:rsid w:val="0081685A"/>
    <w:rsid w:val="00820731"/>
    <w:rsid w:val="008267DC"/>
    <w:rsid w:val="00827A52"/>
    <w:rsid w:val="0083168B"/>
    <w:rsid w:val="00831922"/>
    <w:rsid w:val="00832AA0"/>
    <w:rsid w:val="00834C33"/>
    <w:rsid w:val="008450F7"/>
    <w:rsid w:val="00846F3F"/>
    <w:rsid w:val="0085254A"/>
    <w:rsid w:val="008617A1"/>
    <w:rsid w:val="00864B1B"/>
    <w:rsid w:val="00865C3C"/>
    <w:rsid w:val="00866ABB"/>
    <w:rsid w:val="008716C3"/>
    <w:rsid w:val="0087285C"/>
    <w:rsid w:val="008741FC"/>
    <w:rsid w:val="008755E0"/>
    <w:rsid w:val="00875A0F"/>
    <w:rsid w:val="00875F5E"/>
    <w:rsid w:val="0088073D"/>
    <w:rsid w:val="0089307F"/>
    <w:rsid w:val="0089423A"/>
    <w:rsid w:val="00895459"/>
    <w:rsid w:val="00897F21"/>
    <w:rsid w:val="008A653F"/>
    <w:rsid w:val="008B34E4"/>
    <w:rsid w:val="008B52D3"/>
    <w:rsid w:val="008C6E69"/>
    <w:rsid w:val="008D7130"/>
    <w:rsid w:val="008D72E0"/>
    <w:rsid w:val="008E41FE"/>
    <w:rsid w:val="008F2628"/>
    <w:rsid w:val="00900361"/>
    <w:rsid w:val="00900FD5"/>
    <w:rsid w:val="00901B7B"/>
    <w:rsid w:val="009037B6"/>
    <w:rsid w:val="00906D84"/>
    <w:rsid w:val="00907AFD"/>
    <w:rsid w:val="00907FD1"/>
    <w:rsid w:val="00916C75"/>
    <w:rsid w:val="00916F5E"/>
    <w:rsid w:val="00917DAA"/>
    <w:rsid w:val="00925C50"/>
    <w:rsid w:val="009276FB"/>
    <w:rsid w:val="0094111E"/>
    <w:rsid w:val="00941B14"/>
    <w:rsid w:val="00947EAE"/>
    <w:rsid w:val="0095343B"/>
    <w:rsid w:val="0096160C"/>
    <w:rsid w:val="009636E7"/>
    <w:rsid w:val="009725B9"/>
    <w:rsid w:val="00981D94"/>
    <w:rsid w:val="009928BD"/>
    <w:rsid w:val="00994169"/>
    <w:rsid w:val="00995A0F"/>
    <w:rsid w:val="009961CF"/>
    <w:rsid w:val="009972CD"/>
    <w:rsid w:val="009977F0"/>
    <w:rsid w:val="009A000A"/>
    <w:rsid w:val="009A6DED"/>
    <w:rsid w:val="009B0915"/>
    <w:rsid w:val="009B208C"/>
    <w:rsid w:val="009B3A87"/>
    <w:rsid w:val="009B69DF"/>
    <w:rsid w:val="009C1E82"/>
    <w:rsid w:val="009C3BE0"/>
    <w:rsid w:val="009C603D"/>
    <w:rsid w:val="009C612C"/>
    <w:rsid w:val="009D3A2E"/>
    <w:rsid w:val="009D4F4C"/>
    <w:rsid w:val="009D517A"/>
    <w:rsid w:val="009E1E08"/>
    <w:rsid w:val="009E2A32"/>
    <w:rsid w:val="009E38C9"/>
    <w:rsid w:val="009F198F"/>
    <w:rsid w:val="00A02B6A"/>
    <w:rsid w:val="00A0422E"/>
    <w:rsid w:val="00A0530C"/>
    <w:rsid w:val="00A0548A"/>
    <w:rsid w:val="00A05675"/>
    <w:rsid w:val="00A05F9C"/>
    <w:rsid w:val="00A064DA"/>
    <w:rsid w:val="00A120C3"/>
    <w:rsid w:val="00A150E1"/>
    <w:rsid w:val="00A17E09"/>
    <w:rsid w:val="00A27E3E"/>
    <w:rsid w:val="00A33E12"/>
    <w:rsid w:val="00A35298"/>
    <w:rsid w:val="00A40590"/>
    <w:rsid w:val="00A41168"/>
    <w:rsid w:val="00A422F5"/>
    <w:rsid w:val="00A42E81"/>
    <w:rsid w:val="00A42FA1"/>
    <w:rsid w:val="00A54993"/>
    <w:rsid w:val="00A612CE"/>
    <w:rsid w:val="00A7301B"/>
    <w:rsid w:val="00A74285"/>
    <w:rsid w:val="00A8662C"/>
    <w:rsid w:val="00A87E8A"/>
    <w:rsid w:val="00A92409"/>
    <w:rsid w:val="00A9288C"/>
    <w:rsid w:val="00A9380C"/>
    <w:rsid w:val="00A9601C"/>
    <w:rsid w:val="00AA00AB"/>
    <w:rsid w:val="00AC2457"/>
    <w:rsid w:val="00AC656D"/>
    <w:rsid w:val="00AC679B"/>
    <w:rsid w:val="00AC6A74"/>
    <w:rsid w:val="00AD065B"/>
    <w:rsid w:val="00AD1433"/>
    <w:rsid w:val="00AD5423"/>
    <w:rsid w:val="00AD59B2"/>
    <w:rsid w:val="00AF11B5"/>
    <w:rsid w:val="00AF58FE"/>
    <w:rsid w:val="00AF7531"/>
    <w:rsid w:val="00B003DD"/>
    <w:rsid w:val="00B0078F"/>
    <w:rsid w:val="00B03532"/>
    <w:rsid w:val="00B04B6E"/>
    <w:rsid w:val="00B1017C"/>
    <w:rsid w:val="00B17B76"/>
    <w:rsid w:val="00B21CF1"/>
    <w:rsid w:val="00B22B65"/>
    <w:rsid w:val="00B244E6"/>
    <w:rsid w:val="00B2536B"/>
    <w:rsid w:val="00B27986"/>
    <w:rsid w:val="00B3448C"/>
    <w:rsid w:val="00B43513"/>
    <w:rsid w:val="00B435FD"/>
    <w:rsid w:val="00B604EE"/>
    <w:rsid w:val="00B64187"/>
    <w:rsid w:val="00B67B5C"/>
    <w:rsid w:val="00B73F95"/>
    <w:rsid w:val="00B824B5"/>
    <w:rsid w:val="00B82FC4"/>
    <w:rsid w:val="00B926AA"/>
    <w:rsid w:val="00B92C3D"/>
    <w:rsid w:val="00B97FF0"/>
    <w:rsid w:val="00BB17A3"/>
    <w:rsid w:val="00BB4EBB"/>
    <w:rsid w:val="00BB5AE2"/>
    <w:rsid w:val="00BB6464"/>
    <w:rsid w:val="00BD24EA"/>
    <w:rsid w:val="00BD253C"/>
    <w:rsid w:val="00BD2D3A"/>
    <w:rsid w:val="00BD5E1A"/>
    <w:rsid w:val="00BD7756"/>
    <w:rsid w:val="00BE1349"/>
    <w:rsid w:val="00BF54BE"/>
    <w:rsid w:val="00BF5AF3"/>
    <w:rsid w:val="00BF69F0"/>
    <w:rsid w:val="00C0148F"/>
    <w:rsid w:val="00C11F9C"/>
    <w:rsid w:val="00C14B9A"/>
    <w:rsid w:val="00C17AE9"/>
    <w:rsid w:val="00C240D7"/>
    <w:rsid w:val="00C378E4"/>
    <w:rsid w:val="00C407FB"/>
    <w:rsid w:val="00C50397"/>
    <w:rsid w:val="00C50A72"/>
    <w:rsid w:val="00C53FB8"/>
    <w:rsid w:val="00C57ABE"/>
    <w:rsid w:val="00C57EF3"/>
    <w:rsid w:val="00C712B9"/>
    <w:rsid w:val="00C71A84"/>
    <w:rsid w:val="00C80D4B"/>
    <w:rsid w:val="00C8139D"/>
    <w:rsid w:val="00C83DA1"/>
    <w:rsid w:val="00C90E64"/>
    <w:rsid w:val="00CA512A"/>
    <w:rsid w:val="00CA7170"/>
    <w:rsid w:val="00CC16AB"/>
    <w:rsid w:val="00CC2C47"/>
    <w:rsid w:val="00CC65B2"/>
    <w:rsid w:val="00CC76BB"/>
    <w:rsid w:val="00CD04BC"/>
    <w:rsid w:val="00CD3AF9"/>
    <w:rsid w:val="00CE196F"/>
    <w:rsid w:val="00CF0B5A"/>
    <w:rsid w:val="00CF10A9"/>
    <w:rsid w:val="00CF2CDC"/>
    <w:rsid w:val="00CF3998"/>
    <w:rsid w:val="00CF63A9"/>
    <w:rsid w:val="00CF7309"/>
    <w:rsid w:val="00D04659"/>
    <w:rsid w:val="00D207CB"/>
    <w:rsid w:val="00D25071"/>
    <w:rsid w:val="00D316D4"/>
    <w:rsid w:val="00D33AAD"/>
    <w:rsid w:val="00D369FB"/>
    <w:rsid w:val="00D404BC"/>
    <w:rsid w:val="00D411D8"/>
    <w:rsid w:val="00D417E9"/>
    <w:rsid w:val="00D4483A"/>
    <w:rsid w:val="00D47B1F"/>
    <w:rsid w:val="00D5061A"/>
    <w:rsid w:val="00D5103D"/>
    <w:rsid w:val="00D54236"/>
    <w:rsid w:val="00D61819"/>
    <w:rsid w:val="00D73A98"/>
    <w:rsid w:val="00D74D1E"/>
    <w:rsid w:val="00D85DB5"/>
    <w:rsid w:val="00D90836"/>
    <w:rsid w:val="00D95EE1"/>
    <w:rsid w:val="00D96FB6"/>
    <w:rsid w:val="00DA188E"/>
    <w:rsid w:val="00DA4DBE"/>
    <w:rsid w:val="00DB4E10"/>
    <w:rsid w:val="00DB585E"/>
    <w:rsid w:val="00DB59F5"/>
    <w:rsid w:val="00DC65D7"/>
    <w:rsid w:val="00DD1FD9"/>
    <w:rsid w:val="00DD441F"/>
    <w:rsid w:val="00DD58AF"/>
    <w:rsid w:val="00DD7DC0"/>
    <w:rsid w:val="00DE0C45"/>
    <w:rsid w:val="00DE176D"/>
    <w:rsid w:val="00DE3D44"/>
    <w:rsid w:val="00DE757A"/>
    <w:rsid w:val="00DF7FD2"/>
    <w:rsid w:val="00E028B1"/>
    <w:rsid w:val="00E21A12"/>
    <w:rsid w:val="00E24ADF"/>
    <w:rsid w:val="00E26FDF"/>
    <w:rsid w:val="00E27F40"/>
    <w:rsid w:val="00E3528A"/>
    <w:rsid w:val="00E407B0"/>
    <w:rsid w:val="00E440C8"/>
    <w:rsid w:val="00E44B3F"/>
    <w:rsid w:val="00E471CC"/>
    <w:rsid w:val="00E50E7F"/>
    <w:rsid w:val="00E51E21"/>
    <w:rsid w:val="00E5284C"/>
    <w:rsid w:val="00E62729"/>
    <w:rsid w:val="00E64C47"/>
    <w:rsid w:val="00E70440"/>
    <w:rsid w:val="00E86DC1"/>
    <w:rsid w:val="00E96834"/>
    <w:rsid w:val="00E970B2"/>
    <w:rsid w:val="00EB433B"/>
    <w:rsid w:val="00EC28C0"/>
    <w:rsid w:val="00EC3F32"/>
    <w:rsid w:val="00ED7FD7"/>
    <w:rsid w:val="00EE05FA"/>
    <w:rsid w:val="00EE08E4"/>
    <w:rsid w:val="00EE421F"/>
    <w:rsid w:val="00EF19A7"/>
    <w:rsid w:val="00EF2007"/>
    <w:rsid w:val="00EF64D1"/>
    <w:rsid w:val="00F010AA"/>
    <w:rsid w:val="00F05147"/>
    <w:rsid w:val="00F07EEC"/>
    <w:rsid w:val="00F2336B"/>
    <w:rsid w:val="00F23BAA"/>
    <w:rsid w:val="00F31403"/>
    <w:rsid w:val="00F329BC"/>
    <w:rsid w:val="00F33C26"/>
    <w:rsid w:val="00F370F3"/>
    <w:rsid w:val="00F42776"/>
    <w:rsid w:val="00F432E8"/>
    <w:rsid w:val="00F5458C"/>
    <w:rsid w:val="00F5732F"/>
    <w:rsid w:val="00F61E4C"/>
    <w:rsid w:val="00F64FC2"/>
    <w:rsid w:val="00F655BD"/>
    <w:rsid w:val="00F70378"/>
    <w:rsid w:val="00F70840"/>
    <w:rsid w:val="00F732EE"/>
    <w:rsid w:val="00F752ED"/>
    <w:rsid w:val="00F771B8"/>
    <w:rsid w:val="00F8122B"/>
    <w:rsid w:val="00F82B5E"/>
    <w:rsid w:val="00F83B19"/>
    <w:rsid w:val="00F91499"/>
    <w:rsid w:val="00F91625"/>
    <w:rsid w:val="00F92346"/>
    <w:rsid w:val="00F95542"/>
    <w:rsid w:val="00F97554"/>
    <w:rsid w:val="00FA03E1"/>
    <w:rsid w:val="00FA0C27"/>
    <w:rsid w:val="00FA3842"/>
    <w:rsid w:val="00FA5A99"/>
    <w:rsid w:val="00FB7464"/>
    <w:rsid w:val="00FB750D"/>
    <w:rsid w:val="00FD1202"/>
    <w:rsid w:val="00FD3D99"/>
    <w:rsid w:val="00FE3591"/>
    <w:rsid w:val="00FE6B6E"/>
    <w:rsid w:val="00FF0465"/>
    <w:rsid w:val="00FF113B"/>
    <w:rsid w:val="00FF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1833"/>
  <w15:chartTrackingRefBased/>
  <w15:docId w15:val="{6DB9CF5A-EC1D-4264-B136-23D279AB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5B9"/>
  </w:style>
  <w:style w:type="paragraph" w:styleId="Heading3">
    <w:name w:val="heading 3"/>
    <w:basedOn w:val="Normal"/>
    <w:link w:val="Heading3Char"/>
    <w:uiPriority w:val="9"/>
    <w:qFormat/>
    <w:rsid w:val="0095343B"/>
    <w:pPr>
      <w:spacing w:after="100" w:afterAutospacing="1" w:line="240" w:lineRule="auto"/>
      <w:outlineLvl w:val="2"/>
    </w:pPr>
    <w:rPr>
      <w:rFonts w:ascii="inherit" w:eastAsia="Times New Roman" w:hAnsi="inherit" w:cs="Times New Roman"/>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EDE"/>
    <w:pPr>
      <w:ind w:left="720"/>
      <w:contextualSpacing/>
    </w:pPr>
  </w:style>
  <w:style w:type="character" w:styleId="Hyperlink">
    <w:name w:val="Hyperlink"/>
    <w:basedOn w:val="DefaultParagraphFont"/>
    <w:rsid w:val="00E62729"/>
    <w:rPr>
      <w:color w:val="0000FF"/>
      <w:u w:val="single"/>
    </w:rPr>
  </w:style>
  <w:style w:type="paragraph" w:styleId="NormalWeb">
    <w:name w:val="Normal (Web)"/>
    <w:basedOn w:val="Normal"/>
    <w:rsid w:val="00E62729"/>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styleId="EndnoteText">
    <w:name w:val="endnote text"/>
    <w:basedOn w:val="Normal"/>
    <w:link w:val="EndnoteTextChar"/>
    <w:uiPriority w:val="99"/>
    <w:unhideWhenUsed/>
    <w:rsid w:val="003F747D"/>
    <w:pPr>
      <w:spacing w:after="0" w:line="240" w:lineRule="auto"/>
    </w:pPr>
    <w:rPr>
      <w:sz w:val="20"/>
      <w:szCs w:val="20"/>
    </w:rPr>
  </w:style>
  <w:style w:type="character" w:customStyle="1" w:styleId="EndnoteTextChar">
    <w:name w:val="Endnote Text Char"/>
    <w:basedOn w:val="DefaultParagraphFont"/>
    <w:link w:val="EndnoteText"/>
    <w:uiPriority w:val="99"/>
    <w:rsid w:val="003F747D"/>
    <w:rPr>
      <w:sz w:val="20"/>
      <w:szCs w:val="20"/>
    </w:rPr>
  </w:style>
  <w:style w:type="character" w:styleId="EndnoteReference">
    <w:name w:val="endnote reference"/>
    <w:basedOn w:val="DefaultParagraphFont"/>
    <w:uiPriority w:val="99"/>
    <w:semiHidden/>
    <w:unhideWhenUsed/>
    <w:rsid w:val="003F747D"/>
    <w:rPr>
      <w:vertAlign w:val="superscript"/>
    </w:rPr>
  </w:style>
  <w:style w:type="character" w:customStyle="1" w:styleId="UnresolvedMention1">
    <w:name w:val="Unresolved Mention1"/>
    <w:basedOn w:val="DefaultParagraphFont"/>
    <w:uiPriority w:val="99"/>
    <w:semiHidden/>
    <w:unhideWhenUsed/>
    <w:rsid w:val="00F33C26"/>
    <w:rPr>
      <w:color w:val="605E5C"/>
      <w:shd w:val="clear" w:color="auto" w:fill="E1DFDD"/>
    </w:rPr>
  </w:style>
  <w:style w:type="character" w:styleId="Strong">
    <w:name w:val="Strong"/>
    <w:basedOn w:val="DefaultParagraphFont"/>
    <w:uiPriority w:val="22"/>
    <w:qFormat/>
    <w:rsid w:val="00900FD5"/>
    <w:rPr>
      <w:b/>
      <w:bCs/>
    </w:rPr>
  </w:style>
  <w:style w:type="character" w:customStyle="1" w:styleId="inline-block2">
    <w:name w:val="inline-block2"/>
    <w:basedOn w:val="DefaultParagraphFont"/>
    <w:rsid w:val="00900FD5"/>
  </w:style>
  <w:style w:type="character" w:customStyle="1" w:styleId="Heading3Char">
    <w:name w:val="Heading 3 Char"/>
    <w:basedOn w:val="DefaultParagraphFont"/>
    <w:link w:val="Heading3"/>
    <w:uiPriority w:val="9"/>
    <w:rsid w:val="0095343B"/>
    <w:rPr>
      <w:rFonts w:ascii="inherit" w:eastAsia="Times New Roman" w:hAnsi="inherit" w:cs="Times New Roman"/>
      <w:sz w:val="27"/>
      <w:szCs w:val="27"/>
      <w:lang w:eastAsia="en-GB"/>
    </w:rPr>
  </w:style>
  <w:style w:type="character" w:customStyle="1" w:styleId="dfrq">
    <w:name w:val="df_rq"/>
    <w:basedOn w:val="DefaultParagraphFont"/>
    <w:rsid w:val="00906D84"/>
  </w:style>
  <w:style w:type="character" w:customStyle="1" w:styleId="UnresolvedMention2">
    <w:name w:val="Unresolved Mention2"/>
    <w:basedOn w:val="DefaultParagraphFont"/>
    <w:uiPriority w:val="99"/>
    <w:semiHidden/>
    <w:unhideWhenUsed/>
    <w:rsid w:val="00580782"/>
    <w:rPr>
      <w:color w:val="605E5C"/>
      <w:shd w:val="clear" w:color="auto" w:fill="E1DFDD"/>
    </w:rPr>
  </w:style>
  <w:style w:type="character" w:styleId="UnresolvedMention">
    <w:name w:val="Unresolved Mention"/>
    <w:basedOn w:val="DefaultParagraphFont"/>
    <w:uiPriority w:val="99"/>
    <w:semiHidden/>
    <w:unhideWhenUsed/>
    <w:rsid w:val="003D6E8C"/>
    <w:rPr>
      <w:color w:val="605E5C"/>
      <w:shd w:val="clear" w:color="auto" w:fill="E1DFDD"/>
    </w:rPr>
  </w:style>
  <w:style w:type="character" w:styleId="Emphasis">
    <w:name w:val="Emphasis"/>
    <w:basedOn w:val="DefaultParagraphFont"/>
    <w:uiPriority w:val="20"/>
    <w:qFormat/>
    <w:rsid w:val="00472EAB"/>
    <w:rPr>
      <w:i/>
      <w:iCs/>
    </w:rPr>
  </w:style>
  <w:style w:type="paragraph" w:styleId="BodyText">
    <w:name w:val="Body Text"/>
    <w:basedOn w:val="Normal"/>
    <w:link w:val="BodyTextChar"/>
    <w:rsid w:val="00FB750D"/>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u w:val="single"/>
      <w:lang w:val="en-US"/>
    </w:rPr>
  </w:style>
  <w:style w:type="character" w:customStyle="1" w:styleId="BodyTextChar">
    <w:name w:val="Body Text Char"/>
    <w:basedOn w:val="DefaultParagraphFont"/>
    <w:link w:val="BodyText"/>
    <w:rsid w:val="00FB750D"/>
    <w:rPr>
      <w:rFonts w:ascii="Times New Roman" w:eastAsia="Times New Roman" w:hAnsi="Times New Roman" w:cs="Times New Roman"/>
      <w:sz w:val="24"/>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771">
      <w:bodyDiv w:val="1"/>
      <w:marLeft w:val="0"/>
      <w:marRight w:val="0"/>
      <w:marTop w:val="0"/>
      <w:marBottom w:val="0"/>
      <w:divBdr>
        <w:top w:val="none" w:sz="0" w:space="0" w:color="auto"/>
        <w:left w:val="none" w:sz="0" w:space="0" w:color="auto"/>
        <w:bottom w:val="none" w:sz="0" w:space="0" w:color="auto"/>
        <w:right w:val="none" w:sz="0" w:space="0" w:color="auto"/>
      </w:divBdr>
      <w:divsChild>
        <w:div w:id="859663067">
          <w:marLeft w:val="0"/>
          <w:marRight w:val="0"/>
          <w:marTop w:val="0"/>
          <w:marBottom w:val="0"/>
          <w:divBdr>
            <w:top w:val="none" w:sz="0" w:space="0" w:color="auto"/>
            <w:left w:val="none" w:sz="0" w:space="0" w:color="auto"/>
            <w:bottom w:val="none" w:sz="0" w:space="0" w:color="auto"/>
            <w:right w:val="none" w:sz="0" w:space="0" w:color="auto"/>
          </w:divBdr>
          <w:divsChild>
            <w:div w:id="4580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3-030-2799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algrave.com/gp/rights-permissions" TargetMode="External"/><Relationship Id="rId4" Type="http://schemas.openxmlformats.org/officeDocument/2006/relationships/settings" Target="settings.xml"/><Relationship Id="rId9" Type="http://schemas.openxmlformats.org/officeDocument/2006/relationships/hyperlink" Target="https://doi.org/10.1007/978-3-030-27998-1"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botoxcosmetic.com/home.aspx" TargetMode="External"/><Relationship Id="rId18" Type="http://schemas.openxmlformats.org/officeDocument/2006/relationships/hyperlink" Target="http://www.iprhelpdesk.eu" TargetMode="External"/><Relationship Id="rId26" Type="http://schemas.openxmlformats.org/officeDocument/2006/relationships/hyperlink" Target="https://www.theguardian.com/lifeandstyle/2018/feb/18/botched-cosmetic-surgery-law-change-urged-as-complaints-treble" TargetMode="External"/><Relationship Id="rId3" Type="http://schemas.openxmlformats.org/officeDocument/2006/relationships/hyperlink" Target="https://academic.oup.com/fh/issue/28/1" TargetMode="External"/><Relationship Id="rId21" Type="http://schemas.openxmlformats.org/officeDocument/2006/relationships/hyperlink" Target="https://www.nhf.info/advice-and-resources/blog/health-and-safety/how-to-set-up-our-allergy-alert-system/" TargetMode="External"/><Relationship Id="rId34" Type="http://schemas.openxmlformats.org/officeDocument/2006/relationships/hyperlink" Target="http://www.bailii.org/uk/cases/UKPC/1929/1929-86-html" TargetMode="External"/><Relationship Id="rId7" Type="http://schemas.openxmlformats.org/officeDocument/2006/relationships/hyperlink" Target="https://www.nathanrabin.com/happy-place/2017/4/28/women-hating-women-the-toxic-anti-feminism-of-self-help-guru-marabel-morgan" TargetMode="External"/><Relationship Id="rId12" Type="http://schemas.openxmlformats.org/officeDocument/2006/relationships/hyperlink" Target="https://www.botoxcosmetic.com/home.aspx" TargetMode="External"/><Relationship Id="rId17" Type="http://schemas.openxmlformats.org/officeDocument/2006/relationships/hyperlink" Target="http://www.hairdressingclaims.co.uk/suing-a-hairdrsser" TargetMode="External"/><Relationship Id="rId25" Type="http://schemas.openxmlformats.org/officeDocument/2006/relationships/hyperlink" Target="https://www.casemine.com/judgement/uk/5a8ff71f60d03e7f57ea7e6d" TargetMode="External"/><Relationship Id="rId33" Type="http://schemas.openxmlformats.org/officeDocument/2006/relationships/hyperlink" Target="https://aestheticsjournal.com/feature/why-is-labiaplasty-being-compared-to-female-genital-mutilation" TargetMode="External"/><Relationship Id="rId2" Type="http://schemas.openxmlformats.org/officeDocument/2006/relationships/hyperlink" Target="https://deepblue.lib.umich.edu/handle/2027.42/78957" TargetMode="External"/><Relationship Id="rId16" Type="http://schemas.openxmlformats.org/officeDocument/2006/relationships/hyperlink" Target="https://marineagency.com/top-9-reasons-for-a-lawuit-against-a-hair-salon/" TargetMode="External"/><Relationship Id="rId20" Type="http://schemas.openxmlformats.org/officeDocument/2006/relationships/hyperlink" Target="https://www.scotcourts.gov.uk/search-judgments/judgment?id=667f8aa6-8980-69d2-b500-ff0000d74aa7" TargetMode="External"/><Relationship Id="rId29" Type="http://schemas.openxmlformats.org/officeDocument/2006/relationships/hyperlink" Target="https://www.gov.uk/skin-piercing-and-tattooing" TargetMode="External"/><Relationship Id="rId1" Type="http://schemas.openxmlformats.org/officeDocument/2006/relationships/hyperlink" Target="https://www.smh.com.au/lifestyle/beauty/makeup-the-key-to-success-20111025-1mhik.html" TargetMode="External"/><Relationship Id="rId6" Type="http://schemas.openxmlformats.org/officeDocument/2006/relationships/hyperlink" Target="http://www.redstockings.org/index.php?option=com_content&amp;view=article&amp;id=65&amp;Itemid=103" TargetMode="External"/><Relationship Id="rId11" Type="http://schemas.openxmlformats.org/officeDocument/2006/relationships/hyperlink" Target="https://www.smh.com.au/lifestyle/beauty/all-the-things-i-wish-i-knew-before-i-paid-1000-to-get-my-eyebrows-done-20190621-p51zup.html" TargetMode="External"/><Relationship Id="rId24" Type="http://schemas.openxmlformats.org/officeDocument/2006/relationships/hyperlink" Target="https://www.supremecourt.uk/cases/docs/uksc-2010-0230-judgment.pdf" TargetMode="External"/><Relationship Id="rId32" Type="http://schemas.openxmlformats.org/officeDocument/2006/relationships/hyperlink" Target="https://winnipeg.ca/cms/BLES/LS/business_licenses/body_modification_establishment.stm" TargetMode="External"/><Relationship Id="rId5" Type="http://schemas.openxmlformats.org/officeDocument/2006/relationships/hyperlink" Target="https://www.biography.com/activist/gloria-steinem" TargetMode="External"/><Relationship Id="rId15" Type="http://schemas.openxmlformats.org/officeDocument/2006/relationships/hyperlink" Target="https://www.thetalko.com/13-terrifying-dangers-of-counterfeit-makeup/" TargetMode="External"/><Relationship Id="rId23" Type="http://schemas.openxmlformats.org/officeDocument/2006/relationships/hyperlink" Target="https://www.casemine.com/judgement/uk/5b2897ce2c94e06b9e19b5b5" TargetMode="External"/><Relationship Id="rId28" Type="http://schemas.openxmlformats.org/officeDocument/2006/relationships/hyperlink" Target="https://assets.publishing.service.gov.uk/government/uploads/system/uploads/attachment_data/file/192028/Review_of_the_Regulation_of_Cosmetic_Interventions.pdf" TargetMode="External"/><Relationship Id="rId10" Type="http://schemas.openxmlformats.org/officeDocument/2006/relationships/hyperlink" Target="https://www.dailymail.co.uk/femail/beauty/article-1243038/Plump-pout-Bee-stung-lips-make-women-younger-say-scientists-heres-look-swell-.html" TargetMode="External"/><Relationship Id="rId19" Type="http://schemas.openxmlformats.org/officeDocument/2006/relationships/hyperlink" Target="https://www.productsafety.gov.au/" TargetMode="External"/><Relationship Id="rId31" Type="http://schemas.openxmlformats.org/officeDocument/2006/relationships/hyperlink" Target="https://www.dol.wa.gov/business/tattoo/piercinglicense.html" TargetMode="External"/><Relationship Id="rId4" Type="http://schemas.openxmlformats.org/officeDocument/2006/relationships/hyperlink" Target="https://www.jofreeman.com/joreen/tyranny.htm" TargetMode="External"/><Relationship Id="rId9" Type="http://schemas.openxmlformats.org/officeDocument/2006/relationships/hyperlink" Target="https://fashionista.com/2013/02/thierry-muglers-angel-perfume-celebrates-20-years-in-the-us-a-look-back-at-the-scent-and-the-fashion-behind-it" TargetMode="External"/><Relationship Id="rId14" Type="http://schemas.openxmlformats.org/officeDocument/2006/relationships/hyperlink" Target="https://www.gov.uk/drug-safety-update/counterfeit-medicines-what-pharmacists-should-know" TargetMode="External"/><Relationship Id="rId22" Type="http://schemas.openxmlformats.org/officeDocument/2006/relationships/hyperlink" Target="https://today.mims.com/liposuction-gone-wrong--widower-sues-doctor--clinic-and-company-to-seek-damages" TargetMode="External"/><Relationship Id="rId27" Type="http://schemas.openxmlformats.org/officeDocument/2006/relationships/hyperlink" Target="https://www.theguardian.com/lifeandstyle/2018/feb/18/botched-cosmetic-surgery-law-change-urged-as-complaints-treble" TargetMode="External"/><Relationship Id="rId30" Type="http://schemas.openxmlformats.org/officeDocument/2006/relationships/hyperlink" Target="https://www.michigan.gov/mdhhs/0,5885,7-339-71551_27716_73975---,00.html" TargetMode="External"/><Relationship Id="rId8" Type="http://schemas.openxmlformats.org/officeDocument/2006/relationships/hyperlink" Target="https://www.smh.com.au/lifestyle/beauty/what-women-are-expected-to-spend-on-beauty-amounts-to-a-house-deposit-20190609-p51vzn.html?utm_medium=Social(acce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A9A0-FEC9-47E1-AA89-48CBDA46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14017</Words>
  <Characters>79897</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Jocelynne Scutt</dc:creator>
  <cp:keywords/>
  <dc:description/>
  <cp:lastModifiedBy>Freya Tyrrell</cp:lastModifiedBy>
  <cp:revision>4</cp:revision>
  <dcterms:created xsi:type="dcterms:W3CDTF">2024-02-23T11:31:00Z</dcterms:created>
  <dcterms:modified xsi:type="dcterms:W3CDTF">2024-03-11T15:04:00Z</dcterms:modified>
</cp:coreProperties>
</file>